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5520"/>
        </w:tabs>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bookmarkStart w:id="132" w:name="_GoBack"/>
    </w:p>
    <w:p>
      <w:pPr>
        <w:spacing w:line="360" w:lineRule="auto"/>
        <w:jc w:val="center"/>
        <w:rPr>
          <w:rFonts w:hint="eastAsia" w:ascii="宋体" w:hAnsi="宋体" w:eastAsia="宋体" w:cs="宋体"/>
          <w:color w:val="000000" w:themeColor="text1"/>
          <w:sz w:val="44"/>
          <w:szCs w:val="44"/>
          <w:highlight w:val="none"/>
          <w:lang w:eastAsia="zh-CN"/>
          <w14:textFill>
            <w14:solidFill>
              <w14:schemeClr w14:val="tx1"/>
            </w14:solidFill>
          </w14:textFill>
        </w:rPr>
      </w:pPr>
      <w:r>
        <w:rPr>
          <w:rFonts w:hint="eastAsia" w:ascii="宋体" w:hAnsi="宋体" w:cs="宋体"/>
          <w:color w:val="000000" w:themeColor="text1"/>
          <w:sz w:val="44"/>
          <w:szCs w:val="44"/>
          <w:highlight w:val="none"/>
          <w:lang w:eastAsia="zh-CN"/>
          <w14:textFill>
            <w14:solidFill>
              <w14:schemeClr w14:val="tx1"/>
            </w14:solidFill>
          </w14:textFill>
        </w:rPr>
        <w:t>服务区信息服务及现场管控运维系统项目</w:t>
      </w:r>
    </w:p>
    <w:p>
      <w:pPr>
        <w:pStyle w:val="15"/>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pStyle w:val="15"/>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pStyle w:val="15"/>
        <w:adjustRightInd w:val="0"/>
        <w:snapToGrid w:val="0"/>
        <w:spacing w:line="360" w:lineRule="auto"/>
        <w:jc w:val="center"/>
        <w:rPr>
          <w:rFonts w:hint="eastAsia" w:ascii="宋体" w:hAnsi="宋体" w:eastAsia="宋体" w:cs="宋体"/>
          <w:color w:val="000000" w:themeColor="text1"/>
          <w:sz w:val="44"/>
          <w:szCs w:val="44"/>
          <w:highlight w:val="none"/>
          <w14:textFill>
            <w14:solidFill>
              <w14:schemeClr w14:val="tx1"/>
            </w14:solidFill>
          </w14:textFill>
        </w:rPr>
      </w:pPr>
    </w:p>
    <w:p>
      <w:pPr>
        <w:pStyle w:val="15"/>
        <w:adjustRightInd w:val="0"/>
        <w:snapToGrid w:val="0"/>
        <w:spacing w:line="360" w:lineRule="auto"/>
        <w:jc w:val="center"/>
        <w:rPr>
          <w:rFonts w:hint="eastAsia" w:ascii="宋体" w:hAnsi="宋体" w:eastAsia="宋体" w:cs="宋体"/>
          <w:color w:val="000000" w:themeColor="text1"/>
          <w:sz w:val="44"/>
          <w:szCs w:val="44"/>
          <w:highlight w:val="none"/>
          <w14:textFill>
            <w14:solidFill>
              <w14:schemeClr w14:val="tx1"/>
            </w14:solidFill>
          </w14:textFill>
        </w:rPr>
      </w:pPr>
      <w:r>
        <w:rPr>
          <w:rFonts w:hint="eastAsia" w:ascii="宋体" w:hAnsi="宋体" w:eastAsia="宋体" w:cs="宋体"/>
          <w:color w:val="000000" w:themeColor="text1"/>
          <w:sz w:val="44"/>
          <w:szCs w:val="44"/>
          <w:highlight w:val="none"/>
          <w14:textFill>
            <w14:solidFill>
              <w14:schemeClr w14:val="tx1"/>
            </w14:solidFill>
          </w14:textFill>
        </w:rPr>
        <w:t>询</w:t>
      </w:r>
    </w:p>
    <w:p>
      <w:pPr>
        <w:pStyle w:val="15"/>
        <w:adjustRightInd w:val="0"/>
        <w:snapToGrid w:val="0"/>
        <w:spacing w:line="360" w:lineRule="auto"/>
        <w:jc w:val="center"/>
        <w:rPr>
          <w:rFonts w:hint="eastAsia" w:ascii="宋体" w:hAnsi="宋体" w:eastAsia="宋体" w:cs="宋体"/>
          <w:color w:val="000000" w:themeColor="text1"/>
          <w:sz w:val="44"/>
          <w:szCs w:val="44"/>
          <w:highlight w:val="none"/>
          <w14:textFill>
            <w14:solidFill>
              <w14:schemeClr w14:val="tx1"/>
            </w14:solidFill>
          </w14:textFill>
        </w:rPr>
      </w:pPr>
      <w:r>
        <w:rPr>
          <w:rFonts w:hint="eastAsia" w:ascii="宋体" w:hAnsi="宋体" w:eastAsia="宋体" w:cs="宋体"/>
          <w:color w:val="000000" w:themeColor="text1"/>
          <w:sz w:val="44"/>
          <w:szCs w:val="44"/>
          <w:highlight w:val="none"/>
          <w14:textFill>
            <w14:solidFill>
              <w14:schemeClr w14:val="tx1"/>
            </w14:solidFill>
          </w14:textFill>
        </w:rPr>
        <w:t>比</w:t>
      </w:r>
    </w:p>
    <w:p>
      <w:pPr>
        <w:pStyle w:val="15"/>
        <w:adjustRightInd w:val="0"/>
        <w:snapToGrid w:val="0"/>
        <w:spacing w:line="360" w:lineRule="auto"/>
        <w:jc w:val="center"/>
        <w:rPr>
          <w:rFonts w:hint="eastAsia" w:ascii="宋体" w:hAnsi="宋体" w:eastAsia="宋体" w:cs="宋体"/>
          <w:color w:val="000000" w:themeColor="text1"/>
          <w:sz w:val="44"/>
          <w:szCs w:val="44"/>
          <w:highlight w:val="none"/>
          <w14:textFill>
            <w14:solidFill>
              <w14:schemeClr w14:val="tx1"/>
            </w14:solidFill>
          </w14:textFill>
        </w:rPr>
      </w:pPr>
      <w:r>
        <w:rPr>
          <w:rFonts w:hint="eastAsia" w:ascii="宋体" w:hAnsi="宋体" w:eastAsia="宋体" w:cs="宋体"/>
          <w:color w:val="000000" w:themeColor="text1"/>
          <w:sz w:val="44"/>
          <w:szCs w:val="44"/>
          <w:highlight w:val="none"/>
          <w14:textFill>
            <w14:solidFill>
              <w14:schemeClr w14:val="tx1"/>
            </w14:solidFill>
          </w14:textFill>
        </w:rPr>
        <w:t>文</w:t>
      </w:r>
    </w:p>
    <w:p>
      <w:pPr>
        <w:pStyle w:val="15"/>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44"/>
          <w:szCs w:val="44"/>
          <w:highlight w:val="none"/>
          <w14:textFill>
            <w14:solidFill>
              <w14:schemeClr w14:val="tx1"/>
            </w14:solidFill>
          </w14:textFill>
        </w:rPr>
        <w:t>件</w:t>
      </w:r>
    </w:p>
    <w:p>
      <w:pPr>
        <w:pStyle w:val="15"/>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15"/>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15"/>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15"/>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720" w:firstLineChars="300"/>
        <w:jc w:val="both"/>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720" w:firstLineChars="300"/>
        <w:jc w:val="both"/>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720" w:firstLineChars="300"/>
        <w:jc w:val="both"/>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720" w:firstLineChars="300"/>
        <w:jc w:val="both"/>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960" w:firstLineChars="300"/>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采购人：</w:t>
      </w:r>
      <w:r>
        <w:rPr>
          <w:rFonts w:hint="eastAsia" w:ascii="宋体" w:hAnsi="宋体" w:cs="宋体"/>
          <w:color w:val="000000" w:themeColor="text1"/>
          <w:sz w:val="32"/>
          <w:szCs w:val="32"/>
          <w:highlight w:val="none"/>
          <w:lang w:eastAsia="zh-CN"/>
          <w14:textFill>
            <w14:solidFill>
              <w14:schemeClr w14:val="tx1"/>
            </w14:solidFill>
          </w14:textFill>
        </w:rPr>
        <w:t>安徽省驿达高速公路服务区经营管理有限公司</w:t>
      </w:r>
    </w:p>
    <w:p>
      <w:pPr>
        <w:adjustRightInd w:val="0"/>
        <w:snapToGrid w:val="0"/>
        <w:spacing w:line="360" w:lineRule="auto"/>
        <w:jc w:val="center"/>
        <w:rPr>
          <w:rFonts w:hint="eastAsia" w:ascii="宋体" w:hAnsi="宋体" w:eastAsia="宋体" w:cs="宋体"/>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32"/>
          <w:szCs w:val="32"/>
          <w:highlight w:val="none"/>
          <w14:textFill>
            <w14:solidFill>
              <w14:schemeClr w14:val="tx1"/>
            </w14:solidFill>
          </w14:textFill>
        </w:rPr>
        <w:sectPr>
          <w:headerReference r:id="rId5" w:type="first"/>
          <w:footerReference r:id="rId8" w:type="first"/>
          <w:headerReference r:id="rId4" w:type="default"/>
          <w:footerReference r:id="rId6" w:type="default"/>
          <w:footerReference r:id="rId7" w:type="even"/>
          <w:pgSz w:w="11849" w:h="16781"/>
          <w:pgMar w:top="1134" w:right="1134" w:bottom="1134" w:left="1134" w:header="850" w:footer="992" w:gutter="0"/>
          <w:cols w:space="720" w:num="1"/>
          <w:titlePg/>
          <w:docGrid w:type="lines" w:linePitch="330" w:charSpace="0"/>
        </w:sectPr>
      </w:pPr>
      <w:r>
        <w:rPr>
          <w:rFonts w:hint="eastAsia" w:ascii="宋体" w:hAnsi="宋体" w:eastAsia="宋体" w:cs="宋体"/>
          <w:color w:val="000000" w:themeColor="text1"/>
          <w:sz w:val="32"/>
          <w:szCs w:val="32"/>
          <w:highlight w:val="none"/>
          <w14:textFill>
            <w14:solidFill>
              <w14:schemeClr w14:val="tx1"/>
            </w14:solidFill>
          </w14:textFill>
        </w:rPr>
        <w:t>二〇二〇年</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u w:val="single"/>
          <w:lang w:val="en-US" w:eastAsia="zh-CN"/>
          <w14:textFill>
            <w14:solidFill>
              <w14:schemeClr w14:val="tx1"/>
            </w14:solidFill>
          </w14:textFill>
        </w:rPr>
        <w:t>九</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月</w:t>
      </w:r>
    </w:p>
    <w:p>
      <w:pPr>
        <w:adjustRightInd w:val="0"/>
        <w:snapToGrid w:val="0"/>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bCs/>
          <w:color w:val="000000" w:themeColor="text1"/>
          <w:sz w:val="30"/>
          <w:szCs w:val="30"/>
          <w:highlight w:val="none"/>
          <w14:textFill>
            <w14:solidFill>
              <w14:schemeClr w14:val="tx1"/>
            </w14:solidFill>
          </w14:textFill>
        </w:rPr>
      </w:pPr>
      <w:bookmarkStart w:id="0" w:name="_Toc6701"/>
      <w:bookmarkStart w:id="1" w:name="_Toc13956"/>
      <w:r>
        <w:rPr>
          <w:rFonts w:hint="eastAsia" w:ascii="宋体" w:hAnsi="宋体" w:eastAsia="宋体" w:cs="宋体"/>
          <w:b/>
          <w:bCs/>
          <w:color w:val="000000" w:themeColor="text1"/>
          <w:sz w:val="30"/>
          <w:szCs w:val="30"/>
          <w:highlight w:val="none"/>
          <w14:textFill>
            <w14:solidFill>
              <w14:schemeClr w14:val="tx1"/>
            </w14:solidFill>
          </w14:textFill>
        </w:rPr>
        <w:t>目   录</w:t>
      </w:r>
      <w:bookmarkEnd w:id="0"/>
      <w:bookmarkEnd w:id="1"/>
    </w:p>
    <w:p>
      <w:pPr>
        <w:adjustRightInd w:val="0"/>
        <w:snapToGrid w:val="0"/>
        <w:spacing w:line="360" w:lineRule="auto"/>
        <w:jc w:val="center"/>
        <w:rPr>
          <w:rFonts w:hint="eastAsia" w:ascii="宋体" w:hAnsi="宋体" w:eastAsia="宋体" w:cs="宋体"/>
          <w:color w:val="000000" w:themeColor="text1"/>
          <w:sz w:val="30"/>
          <w:szCs w:val="30"/>
          <w:highlight w:val="none"/>
          <w14:textFill>
            <w14:solidFill>
              <w14:schemeClr w14:val="tx1"/>
            </w14:solidFill>
          </w14:textFill>
        </w:rPr>
      </w:pPr>
      <w:bookmarkStart w:id="2" w:name="_Toc189369358"/>
    </w:p>
    <w:bookmarkEnd w:id="2"/>
    <w:p>
      <w:pPr>
        <w:pStyle w:val="18"/>
        <w:tabs>
          <w:tab w:val="right" w:leader="dot" w:pos="9581"/>
        </w:tabs>
        <w:rPr>
          <w:color w:val="000000" w:themeColor="text1"/>
          <w:sz w:val="28"/>
          <w:szCs w:val="28"/>
          <w:highlight w:val="none"/>
          <w14:textFill>
            <w14:solidFill>
              <w14:schemeClr w14:val="tx1"/>
            </w14:solidFill>
          </w14:textFill>
        </w:rPr>
      </w:pPr>
      <w:bookmarkStart w:id="3" w:name="_Toc15229"/>
      <w:bookmarkStart w:id="4" w:name="_Toc4759"/>
      <w:r>
        <w:rPr>
          <w:rFonts w:hint="eastAsia" w:ascii="宋体" w:hAnsi="宋体" w:eastAsia="宋体" w:cs="宋体"/>
          <w:color w:val="000000" w:themeColor="text1"/>
          <w:sz w:val="240"/>
          <w:szCs w:val="240"/>
          <w:highlight w:val="none"/>
          <w14:textFill>
            <w14:solidFill>
              <w14:schemeClr w14:val="tx1"/>
            </w14:solidFill>
          </w14:textFill>
        </w:rPr>
        <w:fldChar w:fldCharType="begin"/>
      </w:r>
      <w:r>
        <w:rPr>
          <w:rFonts w:hint="eastAsia" w:ascii="宋体" w:hAnsi="宋体" w:eastAsia="宋体" w:cs="宋体"/>
          <w:color w:val="000000" w:themeColor="text1"/>
          <w:sz w:val="240"/>
          <w:szCs w:val="240"/>
          <w:highlight w:val="none"/>
          <w14:textFill>
            <w14:solidFill>
              <w14:schemeClr w14:val="tx1"/>
            </w14:solidFill>
          </w14:textFill>
        </w:rPr>
        <w:instrText xml:space="preserve">TOC \o "1-1" \h \u </w:instrText>
      </w:r>
      <w:r>
        <w:rPr>
          <w:rFonts w:hint="eastAsia" w:ascii="宋体" w:hAnsi="宋体" w:eastAsia="宋体" w:cs="宋体"/>
          <w:color w:val="000000" w:themeColor="text1"/>
          <w:sz w:val="240"/>
          <w:szCs w:val="240"/>
          <w:highlight w:val="none"/>
          <w14:textFill>
            <w14:solidFill>
              <w14:schemeClr w14:val="tx1"/>
            </w14:solidFill>
          </w14:textFill>
        </w:rPr>
        <w:fldChar w:fldCharType="separate"/>
      </w:r>
      <w:r>
        <w:rPr>
          <w:rFonts w:hint="eastAsia" w:ascii="宋体" w:hAnsi="宋体" w:eastAsia="宋体" w:cs="宋体"/>
          <w:color w:val="000000" w:themeColor="text1"/>
          <w:sz w:val="28"/>
          <w:szCs w:val="320"/>
          <w:highlight w:val="none"/>
          <w14:textFill>
            <w14:solidFill>
              <w14:schemeClr w14:val="tx1"/>
            </w14:solidFill>
          </w14:textFill>
        </w:rPr>
        <w:fldChar w:fldCharType="begin"/>
      </w:r>
      <w:r>
        <w:rPr>
          <w:rFonts w:hint="eastAsia" w:ascii="宋体" w:hAnsi="宋体" w:eastAsia="宋体" w:cs="宋体"/>
          <w:color w:val="000000" w:themeColor="text1"/>
          <w:sz w:val="28"/>
          <w:szCs w:val="320"/>
          <w:highlight w:val="none"/>
          <w14:textFill>
            <w14:solidFill>
              <w14:schemeClr w14:val="tx1"/>
            </w14:solidFill>
          </w14:textFill>
        </w:rPr>
        <w:instrText xml:space="preserve"> HYPERLINK \l _Toc9984 </w:instrText>
      </w:r>
      <w:r>
        <w:rPr>
          <w:rFonts w:hint="eastAsia" w:ascii="宋体" w:hAnsi="宋体" w:eastAsia="宋体" w:cs="宋体"/>
          <w:color w:val="000000" w:themeColor="text1"/>
          <w:sz w:val="28"/>
          <w:szCs w:val="320"/>
          <w:highlight w:val="none"/>
          <w14:textFill>
            <w14:solidFill>
              <w14:schemeClr w14:val="tx1"/>
            </w14:solidFill>
          </w14:textFill>
        </w:rPr>
        <w:fldChar w:fldCharType="separate"/>
      </w:r>
      <w:r>
        <w:rPr>
          <w:rFonts w:hint="eastAsia" w:ascii="宋体" w:hAnsi="宋体" w:eastAsia="宋体" w:cs="宋体"/>
          <w:color w:val="000000" w:themeColor="text1"/>
          <w:sz w:val="28"/>
          <w:szCs w:val="52"/>
          <w:highlight w:val="none"/>
          <w14:textFill>
            <w14:solidFill>
              <w14:schemeClr w14:val="tx1"/>
            </w14:solidFill>
          </w14:textFill>
        </w:rPr>
        <w:t>第一章  询比公告</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_Toc9984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320"/>
          <w:highlight w:val="none"/>
          <w14:textFill>
            <w14:solidFill>
              <w14:schemeClr w14:val="tx1"/>
            </w14:solidFill>
          </w14:textFill>
        </w:rPr>
        <w:fldChar w:fldCharType="end"/>
      </w:r>
    </w:p>
    <w:p>
      <w:pPr>
        <w:pStyle w:val="18"/>
        <w:tabs>
          <w:tab w:val="right" w:leader="dot" w:pos="9581"/>
        </w:tabs>
        <w:rPr>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320"/>
          <w:highlight w:val="none"/>
          <w14:textFill>
            <w14:solidFill>
              <w14:schemeClr w14:val="tx1"/>
            </w14:solidFill>
          </w14:textFill>
        </w:rPr>
        <w:fldChar w:fldCharType="begin"/>
      </w:r>
      <w:r>
        <w:rPr>
          <w:rFonts w:hint="eastAsia" w:ascii="宋体" w:hAnsi="宋体" w:eastAsia="宋体" w:cs="宋体"/>
          <w:color w:val="000000" w:themeColor="text1"/>
          <w:sz w:val="28"/>
          <w:szCs w:val="320"/>
          <w:highlight w:val="none"/>
          <w14:textFill>
            <w14:solidFill>
              <w14:schemeClr w14:val="tx1"/>
            </w14:solidFill>
          </w14:textFill>
        </w:rPr>
        <w:instrText xml:space="preserve"> HYPERLINK \l _Toc31879 </w:instrText>
      </w:r>
      <w:r>
        <w:rPr>
          <w:rFonts w:hint="eastAsia" w:ascii="宋体" w:hAnsi="宋体" w:eastAsia="宋体" w:cs="宋体"/>
          <w:color w:val="000000" w:themeColor="text1"/>
          <w:sz w:val="28"/>
          <w:szCs w:val="320"/>
          <w:highlight w:val="none"/>
          <w14:textFill>
            <w14:solidFill>
              <w14:schemeClr w14:val="tx1"/>
            </w14:solidFill>
          </w14:textFill>
        </w:rPr>
        <w:fldChar w:fldCharType="separate"/>
      </w:r>
      <w:r>
        <w:rPr>
          <w:rFonts w:hint="eastAsia" w:ascii="宋体" w:hAnsi="宋体" w:cs="宋体"/>
          <w:color w:val="000000" w:themeColor="text1"/>
          <w:sz w:val="28"/>
          <w:szCs w:val="52"/>
          <w:highlight w:val="none"/>
          <w:lang w:val="en-US" w:eastAsia="zh-CN"/>
          <w14:textFill>
            <w14:solidFill>
              <w14:schemeClr w14:val="tx1"/>
            </w14:solidFill>
          </w14:textFill>
        </w:rPr>
        <w:t>第二章</w:t>
      </w:r>
      <w:r>
        <w:rPr>
          <w:rFonts w:hint="eastAsia" w:ascii="宋体" w:hAnsi="宋体" w:eastAsia="宋体" w:cs="宋体"/>
          <w:bCs w:val="0"/>
          <w:color w:val="000000" w:themeColor="text1"/>
          <w:kern w:val="0"/>
          <w:sz w:val="28"/>
          <w:szCs w:val="52"/>
          <w:highlight w:val="none"/>
          <w14:textFill>
            <w14:solidFill>
              <w14:schemeClr w14:val="tx1"/>
            </w14:solidFill>
          </w14:textFill>
        </w:rPr>
        <w:t xml:space="preserve"> </w:t>
      </w:r>
      <w:r>
        <w:rPr>
          <w:rFonts w:hint="eastAsia" w:ascii="宋体" w:hAnsi="宋体" w:cs="宋体"/>
          <w:bCs w:val="0"/>
          <w:color w:val="000000" w:themeColor="text1"/>
          <w:kern w:val="0"/>
          <w:sz w:val="28"/>
          <w:szCs w:val="52"/>
          <w:highlight w:val="none"/>
          <w:lang w:val="en-US" w:eastAsia="zh-CN"/>
          <w14:textFill>
            <w14:solidFill>
              <w14:schemeClr w14:val="tx1"/>
            </w14:solidFill>
          </w14:textFill>
        </w:rPr>
        <w:t xml:space="preserve"> </w:t>
      </w:r>
      <w:r>
        <w:rPr>
          <w:rFonts w:hint="eastAsia" w:ascii="宋体" w:hAnsi="宋体" w:eastAsia="宋体" w:cs="宋体"/>
          <w:bCs w:val="0"/>
          <w:color w:val="000000" w:themeColor="text1"/>
          <w:kern w:val="0"/>
          <w:sz w:val="28"/>
          <w:szCs w:val="52"/>
          <w:highlight w:val="none"/>
          <w14:textFill>
            <w14:solidFill>
              <w14:schemeClr w14:val="tx1"/>
            </w14:solidFill>
          </w14:textFill>
        </w:rPr>
        <w:t>评审方法(综合评分法)</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_Toc31879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7</w:t>
      </w:r>
      <w:r>
        <w:rPr>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320"/>
          <w:highlight w:val="none"/>
          <w14:textFill>
            <w14:solidFill>
              <w14:schemeClr w14:val="tx1"/>
            </w14:solidFill>
          </w14:textFill>
        </w:rPr>
        <w:fldChar w:fldCharType="end"/>
      </w:r>
    </w:p>
    <w:p>
      <w:pPr>
        <w:pStyle w:val="18"/>
        <w:tabs>
          <w:tab w:val="right" w:leader="dot" w:pos="9581"/>
        </w:tabs>
        <w:rPr>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320"/>
          <w:highlight w:val="none"/>
          <w14:textFill>
            <w14:solidFill>
              <w14:schemeClr w14:val="tx1"/>
            </w14:solidFill>
          </w14:textFill>
        </w:rPr>
        <w:fldChar w:fldCharType="begin"/>
      </w:r>
      <w:r>
        <w:rPr>
          <w:rFonts w:hint="eastAsia" w:ascii="宋体" w:hAnsi="宋体" w:eastAsia="宋体" w:cs="宋体"/>
          <w:color w:val="000000" w:themeColor="text1"/>
          <w:sz w:val="28"/>
          <w:szCs w:val="320"/>
          <w:highlight w:val="none"/>
          <w14:textFill>
            <w14:solidFill>
              <w14:schemeClr w14:val="tx1"/>
            </w14:solidFill>
          </w14:textFill>
        </w:rPr>
        <w:instrText xml:space="preserve"> HYPERLINK \l _Toc10411 </w:instrText>
      </w:r>
      <w:r>
        <w:rPr>
          <w:rFonts w:hint="eastAsia" w:ascii="宋体" w:hAnsi="宋体" w:eastAsia="宋体" w:cs="宋体"/>
          <w:color w:val="000000" w:themeColor="text1"/>
          <w:sz w:val="28"/>
          <w:szCs w:val="320"/>
          <w:highlight w:val="none"/>
          <w14:textFill>
            <w14:solidFill>
              <w14:schemeClr w14:val="tx1"/>
            </w14:solidFill>
          </w14:textFill>
        </w:rPr>
        <w:fldChar w:fldCharType="separate"/>
      </w:r>
      <w:r>
        <w:rPr>
          <w:rFonts w:hint="eastAsia" w:ascii="宋体" w:hAnsi="宋体" w:eastAsia="宋体" w:cs="宋体"/>
          <w:color w:val="000000" w:themeColor="text1"/>
          <w:sz w:val="28"/>
          <w:szCs w:val="72"/>
          <w:highlight w:val="none"/>
          <w14:textFill>
            <w14:solidFill>
              <w14:schemeClr w14:val="tx1"/>
            </w14:solidFill>
          </w14:textFill>
        </w:rPr>
        <w:t>第三章  合同条款及格式</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_Toc10411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12</w:t>
      </w:r>
      <w:r>
        <w:rPr>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320"/>
          <w:highlight w:val="none"/>
          <w14:textFill>
            <w14:solidFill>
              <w14:schemeClr w14:val="tx1"/>
            </w14:solidFill>
          </w14:textFill>
        </w:rPr>
        <w:fldChar w:fldCharType="end"/>
      </w:r>
    </w:p>
    <w:p>
      <w:pPr>
        <w:pStyle w:val="18"/>
        <w:tabs>
          <w:tab w:val="right" w:leader="dot" w:pos="9581"/>
        </w:tabs>
        <w:rPr>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320"/>
          <w:highlight w:val="none"/>
          <w14:textFill>
            <w14:solidFill>
              <w14:schemeClr w14:val="tx1"/>
            </w14:solidFill>
          </w14:textFill>
        </w:rPr>
        <w:fldChar w:fldCharType="begin"/>
      </w:r>
      <w:r>
        <w:rPr>
          <w:rFonts w:hint="eastAsia" w:ascii="宋体" w:hAnsi="宋体" w:eastAsia="宋体" w:cs="宋体"/>
          <w:color w:val="000000" w:themeColor="text1"/>
          <w:sz w:val="28"/>
          <w:szCs w:val="320"/>
          <w:highlight w:val="none"/>
          <w14:textFill>
            <w14:solidFill>
              <w14:schemeClr w14:val="tx1"/>
            </w14:solidFill>
          </w14:textFill>
        </w:rPr>
        <w:instrText xml:space="preserve"> HYPERLINK \l _Toc30979 </w:instrText>
      </w:r>
      <w:r>
        <w:rPr>
          <w:rFonts w:hint="eastAsia" w:ascii="宋体" w:hAnsi="宋体" w:eastAsia="宋体" w:cs="宋体"/>
          <w:color w:val="000000" w:themeColor="text1"/>
          <w:sz w:val="28"/>
          <w:szCs w:val="320"/>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72"/>
          <w:highlight w:val="none"/>
          <w:lang w:eastAsia="zh-CN"/>
          <w14:textFill>
            <w14:solidFill>
              <w14:schemeClr w14:val="tx1"/>
            </w14:solidFill>
          </w14:textFill>
        </w:rPr>
        <w:t>第四章</w:t>
      </w:r>
      <w:r>
        <w:rPr>
          <w:rFonts w:hint="eastAsia" w:asciiTheme="minorEastAsia" w:hAnsiTheme="minorEastAsia" w:eastAsiaTheme="minorEastAsia" w:cstheme="minorEastAsia"/>
          <w:color w:val="000000" w:themeColor="text1"/>
          <w:sz w:val="28"/>
          <w:szCs w:val="72"/>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kern w:val="44"/>
          <w:sz w:val="28"/>
          <w:szCs w:val="72"/>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72"/>
          <w:highlight w:val="none"/>
          <w:lang w:eastAsia="zh-CN"/>
          <w14:textFill>
            <w14:solidFill>
              <w14:schemeClr w14:val="tx1"/>
            </w14:solidFill>
          </w14:textFill>
        </w:rPr>
        <w:t>采购人要求</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_Toc30979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20</w:t>
      </w:r>
      <w:r>
        <w:rPr>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320"/>
          <w:highlight w:val="none"/>
          <w14:textFill>
            <w14:solidFill>
              <w14:schemeClr w14:val="tx1"/>
            </w14:solidFill>
          </w14:textFill>
        </w:rPr>
        <w:fldChar w:fldCharType="end"/>
      </w:r>
    </w:p>
    <w:p>
      <w:pPr>
        <w:pStyle w:val="18"/>
        <w:tabs>
          <w:tab w:val="right" w:leader="dot" w:pos="9581"/>
        </w:tabs>
        <w:rPr>
          <w:color w:val="000000" w:themeColor="text1"/>
          <w:highlight w:val="none"/>
          <w14:textFill>
            <w14:solidFill>
              <w14:schemeClr w14:val="tx1"/>
            </w14:solidFill>
          </w14:textFill>
        </w:rPr>
      </w:pPr>
      <w:r>
        <w:rPr>
          <w:rFonts w:hint="eastAsia" w:ascii="宋体" w:hAnsi="宋体" w:eastAsia="宋体" w:cs="宋体"/>
          <w:color w:val="000000" w:themeColor="text1"/>
          <w:sz w:val="28"/>
          <w:szCs w:val="320"/>
          <w:highlight w:val="none"/>
          <w14:textFill>
            <w14:solidFill>
              <w14:schemeClr w14:val="tx1"/>
            </w14:solidFill>
          </w14:textFill>
        </w:rPr>
        <w:fldChar w:fldCharType="begin"/>
      </w:r>
      <w:r>
        <w:rPr>
          <w:rFonts w:hint="eastAsia" w:ascii="宋体" w:hAnsi="宋体" w:eastAsia="宋体" w:cs="宋体"/>
          <w:color w:val="000000" w:themeColor="text1"/>
          <w:sz w:val="28"/>
          <w:szCs w:val="320"/>
          <w:highlight w:val="none"/>
          <w14:textFill>
            <w14:solidFill>
              <w14:schemeClr w14:val="tx1"/>
            </w14:solidFill>
          </w14:textFill>
        </w:rPr>
        <w:instrText xml:space="preserve"> HYPERLINK \l _Toc14564 </w:instrText>
      </w:r>
      <w:r>
        <w:rPr>
          <w:rFonts w:hint="eastAsia" w:ascii="宋体" w:hAnsi="宋体" w:eastAsia="宋体" w:cs="宋体"/>
          <w:color w:val="000000" w:themeColor="text1"/>
          <w:sz w:val="28"/>
          <w:szCs w:val="320"/>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8"/>
          <w:szCs w:val="52"/>
          <w:highlight w:val="none"/>
          <w:lang w:val="en-US" w:eastAsia="zh-CN"/>
          <w14:textFill>
            <w14:solidFill>
              <w14:schemeClr w14:val="tx1"/>
            </w14:solidFill>
          </w14:textFill>
        </w:rPr>
        <w:t>第五章  响应</w:t>
      </w:r>
      <w:r>
        <w:rPr>
          <w:rFonts w:hint="eastAsia" w:asciiTheme="minorEastAsia" w:hAnsiTheme="minorEastAsia" w:eastAsiaTheme="minorEastAsia" w:cstheme="minorEastAsia"/>
          <w:bCs/>
          <w:color w:val="000000" w:themeColor="text1"/>
          <w:sz w:val="28"/>
          <w:szCs w:val="52"/>
          <w:highlight w:val="none"/>
          <w14:textFill>
            <w14:solidFill>
              <w14:schemeClr w14:val="tx1"/>
            </w14:solidFill>
          </w14:textFill>
        </w:rPr>
        <w:t>文件</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_Toc14564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33</w:t>
      </w:r>
      <w:r>
        <w:rPr>
          <w:color w:val="000000" w:themeColor="text1"/>
          <w:sz w:val="28"/>
          <w:szCs w:val="28"/>
          <w:highlight w:val="none"/>
          <w14:textFill>
            <w14:solidFill>
              <w14:schemeClr w14:val="tx1"/>
            </w14:solidFill>
          </w14:textFill>
        </w:rPr>
        <w:fldChar w:fldCharType="end"/>
      </w:r>
      <w:r>
        <w:rPr>
          <w:rFonts w:hint="eastAsia" w:ascii="宋体" w:hAnsi="宋体" w:eastAsia="宋体" w:cs="宋体"/>
          <w:color w:val="000000" w:themeColor="text1"/>
          <w:sz w:val="28"/>
          <w:szCs w:val="320"/>
          <w:highlight w:val="none"/>
          <w14:textFill>
            <w14:solidFill>
              <w14:schemeClr w14:val="tx1"/>
            </w14:solidFill>
          </w14:textFill>
        </w:rPr>
        <w:fldChar w:fldCharType="end"/>
      </w:r>
    </w:p>
    <w:p>
      <w:pPr>
        <w:pStyle w:val="28"/>
        <w:tabs>
          <w:tab w:val="right" w:leader="dot" w:pos="9582"/>
        </w:tabs>
        <w:adjustRightInd w:val="0"/>
        <w:snapToGrid w:val="0"/>
        <w:spacing w:line="360" w:lineRule="auto"/>
        <w:rPr>
          <w:rFonts w:hint="eastAsia" w:ascii="宋体" w:hAnsi="宋体" w:eastAsia="宋体" w:cs="宋体"/>
          <w:color w:val="000000" w:themeColor="text1"/>
          <w:sz w:val="220"/>
          <w:szCs w:val="220"/>
          <w:highlight w:val="none"/>
          <w14:textFill>
            <w14:solidFill>
              <w14:schemeClr w14:val="tx1"/>
            </w14:solidFill>
          </w14:textFill>
        </w:rPr>
        <w:sectPr>
          <w:headerReference r:id="rId10" w:type="first"/>
          <w:footerReference r:id="rId12" w:type="first"/>
          <w:headerReference r:id="rId9" w:type="default"/>
          <w:footerReference r:id="rId11" w:type="default"/>
          <w:pgSz w:w="11849" w:h="16781"/>
          <w:pgMar w:top="1134" w:right="1134" w:bottom="1134" w:left="1134" w:header="850" w:footer="992" w:gutter="0"/>
          <w:cols w:space="720" w:num="1"/>
          <w:titlePg/>
          <w:docGrid w:type="lines" w:linePitch="330" w:charSpace="0"/>
        </w:sectPr>
      </w:pPr>
      <w:r>
        <w:rPr>
          <w:rFonts w:hint="eastAsia" w:ascii="宋体" w:hAnsi="宋体" w:eastAsia="宋体" w:cs="宋体"/>
          <w:color w:val="000000" w:themeColor="text1"/>
          <w:szCs w:val="240"/>
          <w:highlight w:val="none"/>
          <w14:textFill>
            <w14:solidFill>
              <w14:schemeClr w14:val="tx1"/>
            </w14:solidFill>
          </w14:textFill>
        </w:rPr>
        <w:fldChar w:fldCharType="end"/>
      </w:r>
    </w:p>
    <w:p>
      <w:pPr>
        <w:pStyle w:val="5"/>
        <w:adjustRightInd w:val="0"/>
        <w:snapToGrid w:val="0"/>
        <w:spacing w:before="0" w:after="0" w:line="360" w:lineRule="auto"/>
        <w:rPr>
          <w:rFonts w:hint="eastAsia" w:ascii="宋体" w:hAnsi="宋体" w:eastAsia="宋体" w:cs="宋体"/>
          <w:color w:val="000000" w:themeColor="text1"/>
          <w:sz w:val="36"/>
          <w:szCs w:val="36"/>
          <w:highlight w:val="none"/>
          <w14:textFill>
            <w14:solidFill>
              <w14:schemeClr w14:val="tx1"/>
            </w14:solidFill>
          </w14:textFill>
        </w:rPr>
      </w:pPr>
      <w:bookmarkStart w:id="5" w:name="_Toc9984"/>
      <w:bookmarkStart w:id="6" w:name="_Toc27829"/>
      <w:bookmarkStart w:id="7" w:name="_Toc17968"/>
      <w:r>
        <w:rPr>
          <w:rFonts w:hint="eastAsia" w:ascii="宋体" w:hAnsi="宋体" w:eastAsia="宋体" w:cs="宋体"/>
          <w:color w:val="000000" w:themeColor="text1"/>
          <w:sz w:val="36"/>
          <w:szCs w:val="36"/>
          <w:highlight w:val="none"/>
          <w14:textFill>
            <w14:solidFill>
              <w14:schemeClr w14:val="tx1"/>
            </w14:solidFill>
          </w14:textFill>
        </w:rPr>
        <w:t xml:space="preserve">第一章  </w:t>
      </w:r>
      <w:bookmarkEnd w:id="3"/>
      <w:bookmarkEnd w:id="4"/>
      <w:r>
        <w:rPr>
          <w:rFonts w:hint="eastAsia" w:ascii="宋体" w:hAnsi="宋体" w:eastAsia="宋体" w:cs="宋体"/>
          <w:color w:val="000000" w:themeColor="text1"/>
          <w:sz w:val="36"/>
          <w:szCs w:val="36"/>
          <w:highlight w:val="none"/>
          <w14:textFill>
            <w14:solidFill>
              <w14:schemeClr w14:val="tx1"/>
            </w14:solidFill>
          </w14:textFill>
        </w:rPr>
        <w:t>询比公告</w:t>
      </w:r>
      <w:bookmarkEnd w:id="5"/>
      <w:bookmarkEnd w:id="6"/>
      <w:bookmarkEnd w:id="7"/>
    </w:p>
    <w:p>
      <w:pPr>
        <w:adjustRightInd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bookmarkStart w:id="8" w:name="_Toc92015764"/>
      <w:bookmarkStart w:id="9" w:name="_Toc90106003"/>
      <w:bookmarkStart w:id="10" w:name="_Toc90105822"/>
      <w:bookmarkStart w:id="11" w:name="_Toc90106184"/>
      <w:bookmarkStart w:id="12" w:name="_Toc90105636"/>
      <w:bookmarkStart w:id="13" w:name="_Toc90105449"/>
      <w:bookmarkStart w:id="14" w:name="_Toc90106641"/>
      <w:bookmarkStart w:id="15" w:name="_Toc90105072"/>
      <w:bookmarkStart w:id="16" w:name="_Toc90106822"/>
      <w:bookmarkStart w:id="17" w:name="_Toc89848282"/>
      <w:bookmarkStart w:id="18" w:name="_Toc90105261"/>
      <w:bookmarkStart w:id="19" w:name="_Toc90104554"/>
      <w:r>
        <w:rPr>
          <w:rFonts w:hint="eastAsia" w:ascii="宋体" w:hAnsi="宋体" w:eastAsia="宋体" w:cs="宋体"/>
          <w:color w:val="000000" w:themeColor="text1"/>
          <w:sz w:val="24"/>
          <w:szCs w:val="24"/>
          <w:highlight w:val="none"/>
          <w14:textFill>
            <w14:solidFill>
              <w14:schemeClr w14:val="tx1"/>
            </w14:solidFill>
          </w14:textFill>
        </w:rPr>
        <w:t xml:space="preserve">   </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本项目“</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lang w:eastAsia="zh-CN"/>
          <w14:textFill>
            <w14:solidFill>
              <w14:schemeClr w14:val="tx1"/>
            </w14:solidFill>
          </w14:textFill>
        </w:rPr>
        <w:t>服务区信息服务及现场管控运维系统项目</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”已列入</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2020</w:t>
      </w:r>
      <w:r>
        <w:rPr>
          <w:rFonts w:hint="eastAsia" w:ascii="宋体" w:hAnsi="宋体" w:eastAsia="宋体" w:cs="宋体"/>
          <w:color w:val="000000" w:themeColor="text1"/>
          <w:kern w:val="0"/>
          <w:sz w:val="24"/>
          <w:szCs w:val="24"/>
          <w:highlight w:val="none"/>
          <w14:textFill>
            <w14:solidFill>
              <w14:schemeClr w14:val="tx1"/>
            </w14:solidFill>
          </w14:textFill>
        </w:rPr>
        <w:t>年度采购计划,项目资金已落实，采购人为</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lang w:eastAsia="zh-CN"/>
          <w14:textFill>
            <w14:solidFill>
              <w14:schemeClr w14:val="tx1"/>
            </w14:solidFill>
          </w14:textFill>
        </w:rPr>
        <w:t>安徽省驿达高速公路服务区经营管理有限公司</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。现对“</w:t>
      </w:r>
      <w:r>
        <w:rPr>
          <w:rFonts w:hint="eastAsia" w:ascii="宋体" w:hAnsi="宋体" w:cs="宋体"/>
          <w:color w:val="000000" w:themeColor="text1"/>
          <w:kern w:val="0"/>
          <w:sz w:val="24"/>
          <w:szCs w:val="24"/>
          <w:highlight w:val="none"/>
          <w:u w:val="single"/>
          <w:lang w:eastAsia="zh-CN"/>
          <w14:textFill>
            <w14:solidFill>
              <w14:schemeClr w14:val="tx1"/>
            </w14:solidFill>
          </w14:textFill>
        </w:rPr>
        <w:t>服务区信息服务及现场管控运维系统项目</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”进行公开询比采购，欢迎符合条件的供应商参加。</w:t>
      </w:r>
    </w:p>
    <w:p>
      <w:pPr>
        <w:widowControl/>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一、项目概况</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1.项目名称：</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服务区信息服务及现场管控运维系统项目</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项目</w:t>
      </w:r>
      <w:r>
        <w:rPr>
          <w:rFonts w:hint="eastAsia" w:ascii="宋体" w:hAnsi="宋体" w:eastAsia="宋体" w:cs="宋体"/>
          <w:color w:val="000000" w:themeColor="text1"/>
          <w:kern w:val="0"/>
          <w:sz w:val="24"/>
          <w:szCs w:val="24"/>
          <w:highlight w:val="none"/>
          <w14:textFill>
            <w14:solidFill>
              <w14:schemeClr w14:val="tx1"/>
            </w14:solidFill>
          </w14:textFill>
        </w:rPr>
        <w:t>地点：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丰乐服务区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内容：丰乐服务区智慧运维管理系统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和</w:t>
      </w:r>
      <w:r>
        <w:rPr>
          <w:rFonts w:hint="eastAsia" w:ascii="宋体" w:hAnsi="宋体" w:eastAsia="宋体" w:cs="宋体"/>
          <w:color w:val="000000" w:themeColor="text1"/>
          <w:kern w:val="0"/>
          <w:sz w:val="24"/>
          <w:szCs w:val="24"/>
          <w:highlight w:val="none"/>
          <w14:textFill>
            <w14:solidFill>
              <w14:schemeClr w14:val="tx1"/>
            </w14:solidFill>
          </w14:textFill>
        </w:rPr>
        <w:t>信息服务系统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的开发</w:t>
      </w:r>
      <w:r>
        <w:rPr>
          <w:rFonts w:hint="eastAsia" w:ascii="宋体" w:hAnsi="宋体" w:cs="宋体"/>
          <w:color w:val="000000" w:themeColor="text1"/>
          <w:kern w:val="0"/>
          <w:sz w:val="24"/>
          <w:szCs w:val="24"/>
          <w:highlight w:val="none"/>
          <w:lang w:eastAsia="zh-CN"/>
          <w14:textFill>
            <w14:solidFill>
              <w14:schemeClr w14:val="tx1"/>
            </w14:solidFill>
          </w14:textFill>
        </w:rPr>
        <w:t>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4.最高限价：95万元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5.采购类别：</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6.标段划分：1个标段</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7.</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期限：90个自然日</w:t>
      </w:r>
    </w:p>
    <w:p>
      <w:pPr>
        <w:widowControl/>
        <w:tabs>
          <w:tab w:val="left" w:pos="2300"/>
          <w:tab w:val="left" w:pos="5660"/>
        </w:tabs>
        <w:adjustRightInd w:val="0"/>
        <w:snapToGrid w:val="0"/>
        <w:spacing w:line="360" w:lineRule="auto"/>
        <w:ind w:firstLine="482" w:firstLineChars="200"/>
        <w:jc w:val="both"/>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二、资格最低要求</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1.供应商资格要求</w:t>
      </w:r>
    </w:p>
    <w:p>
      <w:pPr>
        <w:spacing w:line="360" w:lineRule="auto"/>
        <w:ind w:firstLine="480" w:firstLineChars="200"/>
        <w:rPr>
          <w:rFonts w:hint="default"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响应人应具备独立法人资格，持有有效营业执照（营业范围包含</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计算机软件开发相关内容）</w:t>
      </w:r>
      <w:r>
        <w:rPr>
          <w:rFonts w:hint="eastAsia" w:ascii="宋体" w:hAnsi="宋体" w:cs="宋体"/>
          <w:color w:val="000000" w:themeColor="text1"/>
          <w:kern w:val="0"/>
          <w:sz w:val="24"/>
          <w:szCs w:val="24"/>
          <w:highlight w:val="none"/>
          <w:lang w:val="en-US" w:eastAsia="zh-CN"/>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lang w:eastAsia="zh-CN"/>
          <w14:textFill>
            <w14:solidFill>
              <w14:schemeClr w14:val="tx1"/>
            </w14:solidFill>
          </w14:textFill>
        </w:rPr>
        <w:t>） 近三年（20</w:t>
      </w:r>
      <w:r>
        <w:rPr>
          <w:rFonts w:hint="eastAsia" w:ascii="宋体" w:hAnsi="宋体" w:cs="宋体"/>
          <w:color w:val="000000" w:themeColor="text1"/>
          <w:kern w:val="0"/>
          <w:sz w:val="24"/>
          <w:szCs w:val="24"/>
          <w:highlight w:val="none"/>
          <w:lang w:val="en-US" w:eastAsia="zh-CN"/>
          <w14:textFill>
            <w14:solidFill>
              <w14:schemeClr w14:val="tx1"/>
            </w14:solidFill>
          </w14:textFill>
        </w:rPr>
        <w:t>17</w:t>
      </w:r>
      <w:r>
        <w:rPr>
          <w:rFonts w:hint="eastAsia" w:ascii="宋体" w:hAnsi="宋体" w:cs="宋体"/>
          <w:color w:val="000000" w:themeColor="text1"/>
          <w:kern w:val="0"/>
          <w:sz w:val="24"/>
          <w:szCs w:val="24"/>
          <w:highlight w:val="none"/>
          <w:lang w:eastAsia="zh-CN"/>
          <w14:textFill>
            <w14:solidFill>
              <w14:schemeClr w14:val="tx1"/>
            </w14:solidFill>
          </w14:textFill>
        </w:rPr>
        <w:t>年1月1日至</w:t>
      </w:r>
      <w:r>
        <w:rPr>
          <w:rFonts w:hint="eastAsia" w:ascii="宋体" w:hAnsi="宋体" w:cs="宋体"/>
          <w:color w:val="000000" w:themeColor="text1"/>
          <w:kern w:val="0"/>
          <w:sz w:val="24"/>
          <w:szCs w:val="24"/>
          <w:highlight w:val="none"/>
          <w:lang w:val="en-US" w:eastAsia="zh-CN"/>
          <w14:textFill>
            <w14:solidFill>
              <w14:schemeClr w14:val="tx1"/>
            </w14:solidFill>
          </w14:textFill>
        </w:rPr>
        <w:t>今</w:t>
      </w:r>
      <w:r>
        <w:rPr>
          <w:rFonts w:hint="eastAsia" w:ascii="宋体" w:hAnsi="宋体" w:cs="宋体"/>
          <w:color w:val="000000" w:themeColor="text1"/>
          <w:kern w:val="0"/>
          <w:sz w:val="24"/>
          <w:szCs w:val="24"/>
          <w:highlight w:val="none"/>
          <w:lang w:eastAsia="zh-CN"/>
          <w14:textFill>
            <w14:solidFill>
              <w14:schemeClr w14:val="tx1"/>
            </w14:solidFill>
          </w14:textFill>
        </w:rPr>
        <w:t>），独立完成过1项合同金额不少于</w:t>
      </w:r>
      <w:r>
        <w:rPr>
          <w:rFonts w:hint="eastAsia" w:ascii="宋体" w:hAnsi="宋体" w:cs="宋体"/>
          <w:color w:val="000000" w:themeColor="text1"/>
          <w:kern w:val="0"/>
          <w:sz w:val="24"/>
          <w:szCs w:val="24"/>
          <w:highlight w:val="none"/>
          <w:lang w:val="en-US" w:eastAsia="zh-CN"/>
          <w14:textFill>
            <w14:solidFill>
              <w14:schemeClr w14:val="tx1"/>
            </w14:solidFill>
          </w14:textFill>
        </w:rPr>
        <w:t>10</w:t>
      </w:r>
      <w:r>
        <w:rPr>
          <w:rFonts w:hint="eastAsia" w:ascii="宋体" w:hAnsi="宋体" w:cs="宋体"/>
          <w:color w:val="000000" w:themeColor="text1"/>
          <w:kern w:val="0"/>
          <w:sz w:val="24"/>
          <w:szCs w:val="24"/>
          <w:highlight w:val="none"/>
          <w:lang w:eastAsia="zh-CN"/>
          <w14:textFill>
            <w14:solidFill>
              <w14:schemeClr w14:val="tx1"/>
            </w14:solidFill>
          </w14:textFill>
        </w:rPr>
        <w:t>万元的</w:t>
      </w:r>
      <w:r>
        <w:rPr>
          <w:rFonts w:hint="eastAsia" w:ascii="宋体" w:hAnsi="宋体" w:cs="宋体"/>
          <w:color w:val="000000" w:themeColor="text1"/>
          <w:kern w:val="0"/>
          <w:sz w:val="24"/>
          <w:szCs w:val="24"/>
          <w:highlight w:val="none"/>
          <w14:textFill>
            <w14:solidFill>
              <w14:schemeClr w14:val="tx1"/>
            </w14:solidFill>
          </w14:textFill>
        </w:rPr>
        <w:t>类似软件系统开发项目</w:t>
      </w:r>
      <w:r>
        <w:rPr>
          <w:rFonts w:hint="eastAsia" w:ascii="宋体" w:hAnsi="宋体" w:cs="宋体"/>
          <w:color w:val="000000" w:themeColor="text1"/>
          <w:kern w:val="0"/>
          <w:sz w:val="24"/>
          <w:szCs w:val="24"/>
          <w:highlight w:val="none"/>
          <w:lang w:eastAsia="zh-CN"/>
          <w14:textFill>
            <w14:solidFill>
              <w14:schemeClr w14:val="tx1"/>
            </w14:solidFill>
          </w14:textFill>
        </w:rPr>
        <w:t>。</w:t>
      </w:r>
    </w:p>
    <w:p>
      <w:pPr>
        <w:spacing w:line="240" w:lineRule="auto"/>
        <w:ind w:firstLine="420" w:firstLineChars="200"/>
        <w:jc w:val="both"/>
        <w:rPr>
          <w:rFonts w:hint="eastAsia" w:ascii="宋体" w:hAnsi="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kern w:val="0"/>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时间以合同签订时间为准，若合同无法体现工作内容或合同总金额或资格审查要求内相关内容的，须提供相关承诺，格式自拟，否则该业绩不予认可。</w:t>
      </w:r>
      <w:r>
        <w:rPr>
          <w:rFonts w:hint="eastAsia" w:ascii="宋体" w:hAnsi="宋体" w:cs="宋体"/>
          <w:color w:val="000000" w:themeColor="text1"/>
          <w:kern w:val="0"/>
          <w:sz w:val="21"/>
          <w:szCs w:val="21"/>
          <w:highlight w:val="none"/>
          <w:lang w:eastAsia="zh-CN"/>
          <w14:textFill>
            <w14:solidFill>
              <w14:schemeClr w14:val="tx1"/>
            </w14:solidFill>
          </w14:textFill>
        </w:rPr>
        <w:t>）</w:t>
      </w:r>
    </w:p>
    <w:p>
      <w:pPr>
        <w:widowControl/>
        <w:numPr>
          <w:ilvl w:val="0"/>
          <w:numId w:val="1"/>
        </w:numPr>
        <w:adjustRightInd w:val="0"/>
        <w:snapToGrid w:val="0"/>
        <w:spacing w:line="360" w:lineRule="auto"/>
        <w:ind w:firstLine="480" w:firstLineChars="200"/>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供应商人员要求</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992"/>
        <w:gridCol w:w="6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1" w:type="dxa"/>
            <w:tcBorders>
              <w:tl2br w:val="nil"/>
              <w:tr2bl w:val="nil"/>
            </w:tcBorders>
            <w:noWrap w:val="0"/>
            <w:vAlign w:val="center"/>
          </w:tcPr>
          <w:p>
            <w:pPr>
              <w:jc w:val="center"/>
              <w:rPr>
                <w:rFonts w:hint="eastAsia" w:hAnsi="宋体" w:eastAsia="宋体" w:cs="宋体"/>
                <w:color w:val="000000" w:themeColor="text1"/>
                <w:sz w:val="21"/>
                <w:szCs w:val="21"/>
                <w:highlight w:val="none"/>
                <w14:textFill>
                  <w14:solidFill>
                    <w14:schemeClr w14:val="tx1"/>
                  </w14:solidFill>
                </w14:textFill>
              </w:rPr>
            </w:pPr>
            <w:r>
              <w:rPr>
                <w:rFonts w:hint="eastAsia" w:hAnsi="宋体" w:eastAsia="宋体" w:cs="宋体"/>
                <w:color w:val="000000" w:themeColor="text1"/>
                <w:sz w:val="22"/>
                <w:szCs w:val="21"/>
                <w:highlight w:val="none"/>
                <w14:textFill>
                  <w14:solidFill>
                    <w14:schemeClr w14:val="tx1"/>
                  </w14:solidFill>
                </w14:textFill>
              </w:rPr>
              <w:t>人员</w:t>
            </w:r>
          </w:p>
        </w:tc>
        <w:tc>
          <w:tcPr>
            <w:tcW w:w="992" w:type="dxa"/>
            <w:tcBorders>
              <w:tl2br w:val="nil"/>
              <w:tr2bl w:val="nil"/>
            </w:tcBorders>
            <w:noWrap w:val="0"/>
            <w:vAlign w:val="center"/>
          </w:tcPr>
          <w:p>
            <w:pPr>
              <w:jc w:val="center"/>
              <w:rPr>
                <w:rFonts w:hint="eastAsia" w:hAnsi="宋体" w:eastAsia="宋体" w:cs="宋体"/>
                <w:color w:val="000000" w:themeColor="text1"/>
                <w:sz w:val="21"/>
                <w:szCs w:val="21"/>
                <w:highlight w:val="none"/>
                <w14:textFill>
                  <w14:solidFill>
                    <w14:schemeClr w14:val="tx1"/>
                  </w14:solidFill>
                </w14:textFill>
              </w:rPr>
            </w:pPr>
            <w:r>
              <w:rPr>
                <w:rFonts w:hint="eastAsia" w:hAnsi="宋体" w:eastAsia="宋体" w:cs="宋体"/>
                <w:color w:val="000000" w:themeColor="text1"/>
                <w:sz w:val="22"/>
                <w:szCs w:val="21"/>
                <w:highlight w:val="none"/>
                <w14:textFill>
                  <w14:solidFill>
                    <w14:schemeClr w14:val="tx1"/>
                  </w14:solidFill>
                </w14:textFill>
              </w:rPr>
              <w:t>数量</w:t>
            </w:r>
          </w:p>
        </w:tc>
        <w:tc>
          <w:tcPr>
            <w:tcW w:w="6279" w:type="dxa"/>
            <w:tcBorders>
              <w:tl2br w:val="nil"/>
              <w:tr2bl w:val="nil"/>
            </w:tcBorders>
            <w:noWrap w:val="0"/>
            <w:vAlign w:val="center"/>
          </w:tcPr>
          <w:p>
            <w:pPr>
              <w:jc w:val="center"/>
              <w:rPr>
                <w:rFonts w:hint="eastAsia" w:hAnsi="宋体" w:eastAsia="宋体" w:cs="宋体"/>
                <w:color w:val="000000" w:themeColor="text1"/>
                <w:sz w:val="21"/>
                <w:szCs w:val="21"/>
                <w:highlight w:val="none"/>
                <w14:textFill>
                  <w14:solidFill>
                    <w14:schemeClr w14:val="tx1"/>
                  </w14:solidFill>
                </w14:textFill>
              </w:rPr>
            </w:pPr>
            <w:r>
              <w:rPr>
                <w:rFonts w:hint="eastAsia" w:hAnsi="宋体" w:eastAsia="宋体" w:cs="宋体"/>
                <w:color w:val="000000" w:themeColor="text1"/>
                <w:sz w:val="22"/>
                <w:szCs w:val="21"/>
                <w:highlight w:val="none"/>
                <w14:textFill>
                  <w14:solidFill>
                    <w14:schemeClr w14:val="tx1"/>
                  </w14:solidFill>
                </w14:textFill>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01" w:type="dxa"/>
            <w:tcBorders>
              <w:tl2br w:val="nil"/>
              <w:tr2bl w:val="nil"/>
            </w:tcBorders>
            <w:noWrap w:val="0"/>
            <w:vAlign w:val="center"/>
          </w:tcPr>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2"/>
                <w:szCs w:val="21"/>
                <w:highlight w:val="none"/>
                <w14:textFill>
                  <w14:solidFill>
                    <w14:schemeClr w14:val="tx1"/>
                  </w14:solidFill>
                </w14:textFill>
              </w:rPr>
              <w:t>项目负责人</w:t>
            </w:r>
          </w:p>
        </w:tc>
        <w:tc>
          <w:tcPr>
            <w:tcW w:w="992" w:type="dxa"/>
            <w:tcBorders>
              <w:tl2br w:val="nil"/>
              <w:tr2bl w:val="nil"/>
            </w:tcBorders>
            <w:noWrap w:val="0"/>
            <w:vAlign w:val="center"/>
          </w:tcPr>
          <w:p>
            <w:pPr>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6279" w:type="dxa"/>
            <w:tcBorders>
              <w:tl2br w:val="nil"/>
              <w:tr2bl w:val="nil"/>
            </w:tcBorders>
            <w:noWrap w:val="0"/>
            <w:vAlign w:val="center"/>
          </w:tcPr>
          <w:p>
            <w:pPr>
              <w:spacing w:line="240" w:lineRule="auto"/>
              <w:jc w:val="left"/>
              <w:rPr>
                <w:rFonts w:hint="eastAsia" w:ascii="宋体" w:hAnsi="宋体" w:eastAsia="宋体" w:cs="宋体"/>
                <w:color w:val="000000" w:themeColor="text1"/>
                <w:sz w:val="22"/>
                <w:szCs w:val="21"/>
                <w:highlight w:val="none"/>
                <w:lang w:val="en-US" w:eastAsia="zh-CN"/>
                <w14:textFill>
                  <w14:solidFill>
                    <w14:schemeClr w14:val="tx1"/>
                  </w14:solidFill>
                </w14:textFill>
              </w:rPr>
            </w:pPr>
            <w:r>
              <w:rPr>
                <w:rFonts w:hint="eastAsia" w:ascii="宋体" w:hAnsi="宋体" w:eastAsia="宋体" w:cs="宋体"/>
                <w:color w:val="000000" w:themeColor="text1"/>
                <w:sz w:val="22"/>
                <w:szCs w:val="21"/>
                <w:highlight w:val="none"/>
                <w:lang w:val="en-US" w:eastAsia="zh-CN"/>
                <w14:textFill>
                  <w14:solidFill>
                    <w14:schemeClr w14:val="tx1"/>
                  </w14:solidFill>
                </w14:textFill>
              </w:rPr>
              <w:t>具有计算机技术与软件专业技术资格（水平）考试</w:t>
            </w:r>
            <w:r>
              <w:rPr>
                <w:rFonts w:hint="eastAsia" w:ascii="宋体" w:hAnsi="宋体" w:cs="宋体"/>
                <w:color w:val="000000" w:themeColor="text1"/>
                <w:sz w:val="22"/>
                <w:szCs w:val="21"/>
                <w:highlight w:val="none"/>
                <w:lang w:val="en-US" w:eastAsia="zh-CN"/>
                <w14:textFill>
                  <w14:solidFill>
                    <w14:schemeClr w14:val="tx1"/>
                  </w14:solidFill>
                </w14:textFill>
              </w:rPr>
              <w:t>中</w:t>
            </w:r>
            <w:r>
              <w:rPr>
                <w:rFonts w:hint="eastAsia" w:ascii="宋体" w:hAnsi="宋体" w:eastAsia="宋体" w:cs="宋体"/>
                <w:color w:val="000000" w:themeColor="text1"/>
                <w:sz w:val="22"/>
                <w:szCs w:val="21"/>
                <w:highlight w:val="none"/>
                <w:lang w:val="en-US" w:eastAsia="zh-CN"/>
                <w14:textFill>
                  <w14:solidFill>
                    <w14:schemeClr w14:val="tx1"/>
                  </w14:solidFill>
                </w14:textFill>
              </w:rPr>
              <w:t>级</w:t>
            </w:r>
            <w:r>
              <w:rPr>
                <w:rFonts w:hint="eastAsia" w:ascii="宋体" w:hAnsi="宋体" w:cs="宋体"/>
                <w:color w:val="000000" w:themeColor="text1"/>
                <w:sz w:val="22"/>
                <w:szCs w:val="21"/>
                <w:highlight w:val="none"/>
                <w:lang w:val="en-US" w:eastAsia="zh-CN"/>
                <w14:textFill>
                  <w14:solidFill>
                    <w14:schemeClr w14:val="tx1"/>
                  </w14:solidFill>
                </w14:textFill>
              </w:rPr>
              <w:t>及以上</w:t>
            </w:r>
            <w:r>
              <w:rPr>
                <w:rFonts w:hint="eastAsia" w:ascii="宋体" w:hAnsi="宋体" w:eastAsia="宋体" w:cs="宋体"/>
                <w:color w:val="000000" w:themeColor="text1"/>
                <w:sz w:val="22"/>
                <w:szCs w:val="21"/>
                <w:highlight w:val="none"/>
                <w:lang w:val="en-US" w:eastAsia="zh-CN"/>
                <w14:textFill>
                  <w14:solidFill>
                    <w14:schemeClr w14:val="tx1"/>
                  </w14:solidFill>
                </w14:textFill>
              </w:rPr>
              <w:t>资格证书。</w:t>
            </w:r>
          </w:p>
          <w:p>
            <w:pPr>
              <w:snapToGrid w:val="0"/>
              <w:spacing w:line="240" w:lineRule="auto"/>
              <w:ind w:right="125" w:rightChars="52"/>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①中级：网络工程师、系统集成项目管理工程师、数据库系统工程师、信息系统管理工程师、信息安全工程师、信息技术支持工程师等。②高级：信息系统项目管理师、网络规划设计师、系统架构设计师、系统分析师、系统规划与管理师等。）</w:t>
            </w:r>
          </w:p>
        </w:tc>
      </w:tr>
    </w:tbl>
    <w:p>
      <w:pPr>
        <w:widowControl/>
        <w:adjustRightInd w:val="0"/>
        <w:snapToGrid w:val="0"/>
        <w:spacing w:line="360" w:lineRule="auto"/>
        <w:ind w:firstLine="240" w:firstLineChars="1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r>
        <w:rPr>
          <w:rFonts w:hint="eastAsia" w:ascii="宋体" w:hAnsi="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.信誉要求：</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（1）没有被责令停业，暂扣或吊销执照，或吊销资质证书；</w:t>
      </w:r>
    </w:p>
    <w:p>
      <w:pPr>
        <w:widowControl/>
        <w:numPr>
          <w:ilvl w:val="0"/>
          <w:numId w:val="2"/>
        </w:numPr>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没有进入清算程序，或被宣告破产，或其他丧失履约能力的情形；</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（3）没有在国家企业信用信息公示系统中被列入严重违法失信企业名单（http://www.gsxt.gov.cn）</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（4）没有在“信用中国”网站(http://www.creditchina.gov.cn)中被列入失信被执行人名单；</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（5）供应商法定代表人近3年（2017年1月至今）内无行贿犯罪行为记录的承诺；没有法律法规规定的其他情形。</w:t>
      </w:r>
    </w:p>
    <w:p>
      <w:pPr>
        <w:widowControl/>
        <w:tabs>
          <w:tab w:val="left" w:pos="2300"/>
          <w:tab w:val="left" w:pos="566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单位负责人为同一人或者存在控股、管理关系的不同单位,不得参加同一标包或者未划分标包的同一采购项目询比；与</w:t>
      </w:r>
      <w:r>
        <w:rPr>
          <w:rFonts w:hint="eastAsia" w:ascii="宋体" w:hAnsi="宋体" w:eastAsia="宋体" w:cs="宋体"/>
          <w:color w:val="000000" w:themeColor="text1"/>
          <w:kern w:val="0"/>
          <w:sz w:val="24"/>
          <w:szCs w:val="24"/>
          <w:highlight w:val="none"/>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人存在利害关系可能影响</w:t>
      </w:r>
      <w:r>
        <w:rPr>
          <w:rFonts w:hint="eastAsia" w:ascii="宋体" w:hAnsi="宋体" w:eastAsia="宋体" w:cs="宋体"/>
          <w:color w:val="000000" w:themeColor="text1"/>
          <w:kern w:val="0"/>
          <w:sz w:val="24"/>
          <w:szCs w:val="24"/>
          <w:highlight w:val="none"/>
          <w14:textFill>
            <w14:solidFill>
              <w14:schemeClr w14:val="tx1"/>
            </w14:solidFill>
          </w14:textFill>
        </w:rPr>
        <w:t>询比</w:t>
      </w:r>
      <w:r>
        <w:rPr>
          <w:rFonts w:hint="eastAsia" w:ascii="宋体" w:hAnsi="宋体" w:eastAsia="宋体" w:cs="宋体"/>
          <w:color w:val="000000" w:themeColor="text1"/>
          <w:sz w:val="24"/>
          <w:szCs w:val="24"/>
          <w:highlight w:val="none"/>
          <w14:textFill>
            <w14:solidFill>
              <w14:schemeClr w14:val="tx1"/>
            </w14:solidFill>
          </w14:textFill>
        </w:rPr>
        <w:t>公正性的单位，不得参加</w:t>
      </w:r>
      <w:r>
        <w:rPr>
          <w:rFonts w:hint="eastAsia" w:ascii="宋体" w:hAnsi="宋体" w:eastAsia="宋体" w:cs="宋体"/>
          <w:color w:val="000000" w:themeColor="text1"/>
          <w:kern w:val="0"/>
          <w:sz w:val="24"/>
          <w:szCs w:val="24"/>
          <w:highlight w:val="none"/>
          <w14:textFill>
            <w14:solidFill>
              <w14:schemeClr w14:val="tx1"/>
            </w14:solidFill>
          </w14:textFill>
        </w:rPr>
        <w:t>询比</w:t>
      </w:r>
      <w:r>
        <w:rPr>
          <w:rFonts w:hint="eastAsia" w:ascii="宋体" w:hAnsi="宋体" w:eastAsia="宋体" w:cs="宋体"/>
          <w:color w:val="000000" w:themeColor="text1"/>
          <w:sz w:val="24"/>
          <w:szCs w:val="24"/>
          <w:highlight w:val="none"/>
          <w14:textFill>
            <w14:solidFill>
              <w14:schemeClr w14:val="tx1"/>
            </w14:solidFill>
          </w14:textFill>
        </w:rPr>
        <w:t>。</w:t>
      </w:r>
    </w:p>
    <w:p>
      <w:pPr>
        <w:widowControl/>
        <w:tabs>
          <w:tab w:val="left" w:pos="2300"/>
          <w:tab w:val="left" w:pos="566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本次采购</w:t>
      </w:r>
      <w:r>
        <w:rPr>
          <w:rFonts w:hint="eastAsia" w:ascii="宋体" w:hAnsi="宋体" w:eastAsia="宋体" w:cs="宋体"/>
          <w:color w:val="000000" w:themeColor="text1"/>
          <w:kern w:val="0"/>
          <w:sz w:val="24"/>
          <w:szCs w:val="24"/>
          <w:highlight w:val="none"/>
          <w:u w:val="single"/>
          <w14:textFill>
            <w14:solidFill>
              <w14:schemeClr w14:val="tx1"/>
            </w14:solidFill>
          </w14:textFill>
        </w:rPr>
        <w:t>不接受</w:t>
      </w:r>
      <w:r>
        <w:rPr>
          <w:rFonts w:hint="eastAsia" w:ascii="宋体" w:hAnsi="宋体" w:eastAsia="宋体" w:cs="宋体"/>
          <w:color w:val="000000" w:themeColor="text1"/>
          <w:sz w:val="24"/>
          <w:szCs w:val="24"/>
          <w:highlight w:val="none"/>
          <w14:textFill>
            <w14:solidFill>
              <w14:schemeClr w14:val="tx1"/>
            </w14:solidFill>
          </w14:textFill>
        </w:rPr>
        <w:t>联合体竞标。</w:t>
      </w:r>
    </w:p>
    <w:p>
      <w:pPr>
        <w:widowControl/>
        <w:tabs>
          <w:tab w:val="left" w:pos="2300"/>
          <w:tab w:val="left" w:pos="5660"/>
        </w:tabs>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三、询比文件获取时间及方式</w:t>
      </w:r>
    </w:p>
    <w:p>
      <w:pPr>
        <w:widowControl/>
        <w:tabs>
          <w:tab w:val="left" w:pos="2300"/>
          <w:tab w:val="left" w:pos="5660"/>
        </w:tabs>
        <w:adjustRightInd w:val="0"/>
        <w:snapToGrid w:val="0"/>
        <w:spacing w:line="360" w:lineRule="auto"/>
        <w:ind w:firstLine="480" w:firstLineChars="200"/>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凡有意向参加本项目的供应商，可于 2020 年 9 月28日起在安徽省驿达高速公路服务区经营管理有限公司网站自行下载询比文件。</w:t>
      </w:r>
    </w:p>
    <w:p>
      <w:pPr>
        <w:widowControl/>
        <w:tabs>
          <w:tab w:val="left" w:pos="2300"/>
          <w:tab w:val="left" w:pos="5660"/>
        </w:tabs>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四、响应文件递交时间及地点</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响应文件递交的截止时间（询比截止时间）为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2020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kern w:val="0"/>
          <w:sz w:val="24"/>
          <w:szCs w:val="24"/>
          <w:highlight w:val="none"/>
          <w14:textFill>
            <w14:solidFill>
              <w14:schemeClr w14:val="tx1"/>
            </w14:solidFill>
          </w14:textFill>
        </w:rPr>
        <w:t>，递交地点为</w:t>
      </w:r>
      <w:r>
        <w:rPr>
          <w:rFonts w:hint="eastAsia" w:ascii="宋体" w:hAnsi="宋体" w:cs="宋体"/>
          <w:color w:val="000000" w:themeColor="text1"/>
          <w:sz w:val="24"/>
          <w:szCs w:val="24"/>
          <w:highlight w:val="none"/>
          <w:u w:val="single"/>
          <w:lang w:eastAsia="zh-CN"/>
          <w14:textFill>
            <w14:solidFill>
              <w14:schemeClr w14:val="tx1"/>
            </w14:solidFill>
          </w14:textFill>
        </w:rPr>
        <w:t>安徽省驿达高速公路服务区经营管理有限公司</w:t>
      </w:r>
      <w:r>
        <w:rPr>
          <w:rFonts w:hint="eastAsia" w:ascii="宋体" w:hAnsi="宋体" w:cs="宋体"/>
          <w:color w:val="000000" w:themeColor="text1"/>
          <w:sz w:val="24"/>
          <w:szCs w:val="24"/>
          <w:highlight w:val="none"/>
          <w:u w:val="single"/>
          <w:lang w:val="en-US" w:eastAsia="zh-CN"/>
          <w14:textFill>
            <w14:solidFill>
              <w14:schemeClr w14:val="tx1"/>
            </w14:solidFill>
          </w14:textFill>
        </w:rPr>
        <w:t>一</w:t>
      </w:r>
      <w:r>
        <w:rPr>
          <w:rFonts w:hint="eastAsia" w:ascii="宋体" w:hAnsi="宋体" w:eastAsia="宋体" w:cs="宋体"/>
          <w:color w:val="000000" w:themeColor="text1"/>
          <w:sz w:val="24"/>
          <w:szCs w:val="24"/>
          <w:highlight w:val="none"/>
          <w:u w:val="single"/>
          <w14:textFill>
            <w14:solidFill>
              <w14:schemeClr w14:val="tx1"/>
            </w14:solidFill>
          </w14:textFill>
        </w:rPr>
        <w:t>会议室（安徽省合肥市望江西路520号皖通科技园内</w:t>
      </w:r>
      <w:r>
        <w:rPr>
          <w:rFonts w:hint="eastAsia" w:ascii="宋体" w:hAnsi="宋体" w:cs="宋体"/>
          <w:color w:val="000000" w:themeColor="text1"/>
          <w:sz w:val="24"/>
          <w:szCs w:val="24"/>
          <w:highlight w:val="none"/>
          <w:u w:val="single"/>
          <w:lang w:val="en-US" w:eastAsia="zh-CN"/>
          <w14:textFill>
            <w14:solidFill>
              <w14:schemeClr w14:val="tx1"/>
            </w14:solidFill>
          </w14:textFill>
        </w:rPr>
        <w:t>10号</w:t>
      </w:r>
      <w:r>
        <w:rPr>
          <w:rFonts w:hint="eastAsia" w:ascii="宋体" w:hAnsi="宋体" w:eastAsia="宋体" w:cs="宋体"/>
          <w:color w:val="000000" w:themeColor="text1"/>
          <w:sz w:val="24"/>
          <w:szCs w:val="24"/>
          <w:highlight w:val="none"/>
          <w:u w:val="single"/>
          <w14:textFill>
            <w14:solidFill>
              <w14:schemeClr w14:val="tx1"/>
            </w14:solidFill>
          </w14:textFill>
        </w:rPr>
        <w:t>楼</w:t>
      </w:r>
      <w:r>
        <w:rPr>
          <w:rFonts w:hint="eastAsia" w:ascii="宋体" w:hAnsi="宋体" w:eastAsia="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 xml:space="preserve"> 。采购人定于响应文件递交截止的同一时间、同一地点举行公开开标。供应商的法定代表人或授权代理人应携带本人身份证准时参加开标会议，否则将视其默认评审结果。逾期送达的或者未送达指定地点的响应文件，采购人不予受理。</w:t>
      </w:r>
    </w:p>
    <w:p>
      <w:pPr>
        <w:widowControl/>
        <w:tabs>
          <w:tab w:val="left" w:pos="2300"/>
          <w:tab w:val="left" w:pos="5660"/>
        </w:tabs>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五、联系方式</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采购人：</w:t>
      </w:r>
      <w:r>
        <w:rPr>
          <w:rFonts w:hint="eastAsia" w:ascii="宋体" w:hAnsi="宋体" w:cs="宋体"/>
          <w:color w:val="000000" w:themeColor="text1"/>
          <w:kern w:val="0"/>
          <w:sz w:val="24"/>
          <w:szCs w:val="24"/>
          <w:highlight w:val="none"/>
          <w:lang w:eastAsia="zh-CN"/>
          <w14:textFill>
            <w14:solidFill>
              <w14:schemeClr w14:val="tx1"/>
            </w14:solidFill>
          </w14:textFill>
        </w:rPr>
        <w:t>安徽省驿达高速公路服务区经营管理有限公司</w:t>
      </w:r>
    </w:p>
    <w:p>
      <w:pPr>
        <w:widowControl/>
        <w:adjustRightInd w:val="0"/>
        <w:snapToGrid w:val="0"/>
        <w:spacing w:line="360" w:lineRule="auto"/>
        <w:ind w:firstLine="480" w:firstLineChars="200"/>
        <w:rPr>
          <w:rFonts w:hint="default" w:ascii="宋体" w:hAnsi="宋体" w:eastAsia="宋体" w:cs="宋体"/>
          <w:color w:val="000000" w:themeColor="text1"/>
          <w:kern w:val="0"/>
          <w:sz w:val="24"/>
          <w:szCs w:val="24"/>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地址：</w:t>
      </w:r>
      <w:r>
        <w:rPr>
          <w:rFonts w:hint="eastAsia" w:ascii="宋体" w:hAnsi="宋体" w:eastAsia="宋体" w:cs="宋体"/>
          <w:color w:val="000000" w:themeColor="text1"/>
          <w:sz w:val="24"/>
          <w:szCs w:val="24"/>
          <w:highlight w:val="none"/>
          <w:u w:val="none"/>
          <w14:textFill>
            <w14:solidFill>
              <w14:schemeClr w14:val="tx1"/>
            </w14:solidFill>
          </w14:textFill>
        </w:rPr>
        <w:t>安徽省合肥市望江西路520号皖通科技园内</w:t>
      </w:r>
      <w:r>
        <w:rPr>
          <w:rFonts w:hint="eastAsia" w:ascii="宋体" w:hAnsi="宋体" w:cs="宋体"/>
          <w:color w:val="000000" w:themeColor="text1"/>
          <w:sz w:val="24"/>
          <w:szCs w:val="24"/>
          <w:highlight w:val="none"/>
          <w:u w:val="none"/>
          <w:lang w:val="en-US" w:eastAsia="zh-CN"/>
          <w14:textFill>
            <w14:solidFill>
              <w14:schemeClr w14:val="tx1"/>
            </w14:solidFill>
          </w14:textFill>
        </w:rPr>
        <w:t>皖通大厦7楼</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联系人：</w:t>
      </w:r>
      <w:r>
        <w:rPr>
          <w:rFonts w:hint="eastAsia" w:ascii="宋体" w:hAnsi="宋体" w:cs="宋体"/>
          <w:color w:val="000000" w:themeColor="text1"/>
          <w:kern w:val="0"/>
          <w:sz w:val="24"/>
          <w:szCs w:val="24"/>
          <w:highlight w:val="none"/>
          <w:lang w:val="en-US" w:eastAsia="zh-CN"/>
          <w14:textFill>
            <w14:solidFill>
              <w14:schemeClr w14:val="tx1"/>
            </w14:solidFill>
          </w14:textFill>
        </w:rPr>
        <w:t>张工  徐工</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电话：</w:t>
      </w:r>
      <w:r>
        <w:rPr>
          <w:rFonts w:hint="eastAsia" w:ascii="宋体" w:hAnsi="宋体" w:cs="宋体"/>
          <w:color w:val="000000" w:themeColor="text1"/>
          <w:kern w:val="0"/>
          <w:sz w:val="24"/>
          <w:szCs w:val="24"/>
          <w:highlight w:val="none"/>
          <w:lang w:val="en-US" w:eastAsia="zh-CN"/>
          <w14:textFill>
            <w14:solidFill>
              <w14:schemeClr w14:val="tx1"/>
            </w14:solidFill>
          </w14:textFill>
        </w:rPr>
        <w:t>0551-63738567 0551-65333776</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pStyle w:val="14"/>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邮</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箱：xuy221@ahjkjt.com</w:t>
      </w:r>
    </w:p>
    <w:p>
      <w:pPr>
        <w:widowControl/>
        <w:tabs>
          <w:tab w:val="left" w:pos="2300"/>
          <w:tab w:val="left" w:pos="5660"/>
        </w:tabs>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六、发布公告的媒介</w:t>
      </w:r>
    </w:p>
    <w:p>
      <w:pPr>
        <w:widowControl/>
        <w:tabs>
          <w:tab w:val="left" w:pos="2300"/>
          <w:tab w:val="left" w:pos="566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本项目询比公告在</w:t>
      </w:r>
      <w:r>
        <w:rPr>
          <w:rFonts w:hint="eastAsia" w:ascii="宋体" w:hAnsi="宋体" w:cs="宋体"/>
          <w:color w:val="000000" w:themeColor="text1"/>
          <w:sz w:val="24"/>
          <w:szCs w:val="24"/>
          <w:highlight w:val="none"/>
          <w:u w:val="single"/>
          <w:lang w:eastAsia="zh-CN"/>
          <w14:textFill>
            <w14:solidFill>
              <w14:schemeClr w14:val="tx1"/>
            </w14:solidFill>
          </w14:textFill>
        </w:rPr>
        <w:t>安徽省驿达高速公路服务区经营管理有限公司</w:t>
      </w:r>
      <w:r>
        <w:rPr>
          <w:rFonts w:hint="eastAsia" w:ascii="宋体" w:hAnsi="宋体" w:eastAsia="宋体" w:cs="宋体"/>
          <w:color w:val="000000" w:themeColor="text1"/>
          <w:sz w:val="24"/>
          <w:szCs w:val="24"/>
          <w:highlight w:val="none"/>
          <w14:textFill>
            <w14:solidFill>
              <w14:schemeClr w14:val="tx1"/>
            </w14:solidFill>
          </w14:textFill>
        </w:rPr>
        <w:t>网站上发布。</w:t>
      </w:r>
    </w:p>
    <w:p>
      <w:pPr>
        <w:widowControl/>
        <w:tabs>
          <w:tab w:val="left" w:pos="2300"/>
          <w:tab w:val="left" w:pos="5660"/>
        </w:tabs>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七、其他询比事项</w:t>
      </w:r>
    </w:p>
    <w:p>
      <w:pPr>
        <w:widowControl/>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.现场考察及标前会议</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采购人</w:t>
      </w:r>
      <w:r>
        <w:rPr>
          <w:rFonts w:hint="eastAsia" w:ascii="宋体" w:hAnsi="宋体" w:eastAsia="宋体" w:cs="宋体"/>
          <w:color w:val="000000" w:themeColor="text1"/>
          <w:kern w:val="0"/>
          <w:sz w:val="24"/>
          <w:szCs w:val="24"/>
          <w:highlight w:val="none"/>
          <w:u w:val="single"/>
          <w14:textFill>
            <w14:solidFill>
              <w14:schemeClr w14:val="tx1"/>
            </w14:solidFill>
          </w14:textFill>
        </w:rPr>
        <w:t>不组织</w:t>
      </w:r>
      <w:r>
        <w:rPr>
          <w:rFonts w:hint="eastAsia" w:ascii="宋体" w:hAnsi="宋体" w:eastAsia="宋体" w:cs="宋体"/>
          <w:color w:val="000000" w:themeColor="text1"/>
          <w:kern w:val="0"/>
          <w:sz w:val="24"/>
          <w:szCs w:val="24"/>
          <w:highlight w:val="none"/>
          <w14:textFill>
            <w14:solidFill>
              <w14:schemeClr w14:val="tx1"/>
            </w14:solidFill>
          </w14:textFill>
        </w:rPr>
        <w:t>现场考察与标前会议，</w:t>
      </w:r>
      <w:r>
        <w:rPr>
          <w:rFonts w:hint="eastAsia" w:ascii="宋体" w:hAnsi="宋体" w:eastAsia="宋体" w:cs="宋体"/>
          <w:color w:val="000000" w:themeColor="text1"/>
          <w:sz w:val="24"/>
          <w:szCs w:val="24"/>
          <w:highlight w:val="none"/>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可根据需要自行组织进行现场考察，现场考察期间的交通、食宿等由</w:t>
      </w:r>
      <w:r>
        <w:rPr>
          <w:rFonts w:hint="eastAsia" w:ascii="宋体" w:hAnsi="宋体" w:eastAsia="宋体" w:cs="宋体"/>
          <w:color w:val="000000" w:themeColor="text1"/>
          <w:sz w:val="24"/>
          <w:szCs w:val="24"/>
          <w:highlight w:val="none"/>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自行安排，费用自理。</w:t>
      </w:r>
    </w:p>
    <w:p>
      <w:pPr>
        <w:widowControl/>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2.响应文件装订及包封</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响应文件由</w:t>
      </w:r>
      <w:r>
        <w:rPr>
          <w:rFonts w:hint="eastAsia" w:ascii="宋体" w:hAnsi="宋体" w:eastAsia="宋体" w:cs="宋体"/>
          <w:color w:val="000000" w:themeColor="text1"/>
          <w:kern w:val="0"/>
          <w:sz w:val="24"/>
          <w:szCs w:val="24"/>
          <w:highlight w:val="none"/>
          <w14:textFill>
            <w14:solidFill>
              <w14:schemeClr w14:val="tx1"/>
            </w14:solidFill>
          </w14:textFill>
        </w:rPr>
        <w:t>第一个信封（</w:t>
      </w:r>
      <w:r>
        <w:rPr>
          <w:rFonts w:hint="eastAsia" w:ascii="宋体" w:hAnsi="宋体" w:eastAsia="宋体" w:cs="宋体"/>
          <w:color w:val="000000" w:themeColor="text1"/>
          <w:sz w:val="24"/>
          <w:szCs w:val="24"/>
          <w:highlight w:val="none"/>
          <w14:textFill>
            <w14:solidFill>
              <w14:schemeClr w14:val="tx1"/>
            </w14:solidFill>
          </w14:textFill>
        </w:rPr>
        <w:t>商务及技术文件</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第二个信封（报价文件）</w:t>
      </w:r>
      <w:r>
        <w:rPr>
          <w:rFonts w:hint="eastAsia" w:ascii="宋体" w:hAnsi="宋体" w:eastAsia="宋体" w:cs="宋体"/>
          <w:color w:val="000000" w:themeColor="text1"/>
          <w:sz w:val="24"/>
          <w:szCs w:val="24"/>
          <w:highlight w:val="none"/>
          <w14:textFill>
            <w14:solidFill>
              <w14:schemeClr w14:val="tx1"/>
            </w14:solidFill>
          </w14:textFill>
        </w:rPr>
        <w:t>两部分组成。</w:t>
      </w:r>
      <w:r>
        <w:rPr>
          <w:rFonts w:hint="eastAsia" w:ascii="宋体" w:hAnsi="宋体" w:eastAsia="宋体" w:cs="宋体"/>
          <w:color w:val="000000" w:themeColor="text1"/>
          <w:kern w:val="0"/>
          <w:sz w:val="24"/>
          <w:szCs w:val="24"/>
          <w:highlight w:val="none"/>
          <w14:textFill>
            <w14:solidFill>
              <w14:schemeClr w14:val="tx1"/>
            </w14:solidFill>
          </w14:textFill>
        </w:rPr>
        <w:t>第一个信封（</w:t>
      </w:r>
      <w:r>
        <w:rPr>
          <w:rFonts w:hint="eastAsia" w:ascii="宋体" w:hAnsi="宋体" w:eastAsia="宋体" w:cs="宋体"/>
          <w:color w:val="000000" w:themeColor="text1"/>
          <w:sz w:val="24"/>
          <w:szCs w:val="24"/>
          <w:highlight w:val="none"/>
          <w14:textFill>
            <w14:solidFill>
              <w14:schemeClr w14:val="tx1"/>
            </w14:solidFill>
          </w14:textFill>
        </w:rPr>
        <w:t>商务及技术文件</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：正本1份，副本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1 </w:t>
      </w:r>
      <w:r>
        <w:rPr>
          <w:rFonts w:hint="eastAsia" w:ascii="宋体" w:hAnsi="宋体" w:eastAsia="宋体" w:cs="宋体"/>
          <w:color w:val="000000" w:themeColor="text1"/>
          <w:sz w:val="24"/>
          <w:szCs w:val="24"/>
          <w:highlight w:val="none"/>
          <w14:textFill>
            <w14:solidFill>
              <w14:schemeClr w14:val="tx1"/>
            </w14:solidFill>
          </w14:textFill>
        </w:rPr>
        <w:t>份；</w:t>
      </w:r>
      <w:r>
        <w:rPr>
          <w:rFonts w:hint="eastAsia" w:ascii="宋体" w:hAnsi="宋体" w:eastAsia="宋体" w:cs="宋体"/>
          <w:color w:val="000000" w:themeColor="text1"/>
          <w:kern w:val="0"/>
          <w:sz w:val="24"/>
          <w:szCs w:val="24"/>
          <w:highlight w:val="none"/>
          <w14:textFill>
            <w14:solidFill>
              <w14:schemeClr w14:val="tx1"/>
            </w14:solidFill>
          </w14:textFill>
        </w:rPr>
        <w:t>第二个信封（报价文件）</w:t>
      </w:r>
      <w:r>
        <w:rPr>
          <w:rFonts w:hint="eastAsia" w:ascii="宋体" w:hAnsi="宋体" w:eastAsia="宋体" w:cs="宋体"/>
          <w:color w:val="000000" w:themeColor="text1"/>
          <w:sz w:val="24"/>
          <w:szCs w:val="24"/>
          <w:highlight w:val="none"/>
          <w14:textFill>
            <w14:solidFill>
              <w14:schemeClr w14:val="tx1"/>
            </w14:solidFill>
          </w14:textFill>
        </w:rPr>
        <w:t>：正本1份，副本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1 </w:t>
      </w:r>
      <w:r>
        <w:rPr>
          <w:rFonts w:hint="eastAsia" w:ascii="宋体" w:hAnsi="宋体" w:eastAsia="宋体" w:cs="宋体"/>
          <w:color w:val="000000" w:themeColor="text1"/>
          <w:sz w:val="24"/>
          <w:szCs w:val="24"/>
          <w:highlight w:val="none"/>
          <w14:textFill>
            <w14:solidFill>
              <w14:schemeClr w14:val="tx1"/>
            </w14:solidFill>
          </w14:textFill>
        </w:rPr>
        <w:t>份。中标人签订合同时另行向采购人提供副本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 </w:t>
      </w:r>
      <w:r>
        <w:rPr>
          <w:rFonts w:hint="eastAsia" w:ascii="宋体" w:hAnsi="宋体" w:eastAsia="宋体" w:cs="宋体"/>
          <w:color w:val="000000" w:themeColor="text1"/>
          <w:sz w:val="24"/>
          <w:szCs w:val="24"/>
          <w:highlight w:val="none"/>
          <w14:textFill>
            <w14:solidFill>
              <w14:schemeClr w14:val="tx1"/>
            </w14:solidFill>
          </w14:textFill>
        </w:rPr>
        <w:t>份。正本和副本的封面右上角应清楚地标记“正本”或“副本”的字样。当正本与副本不一致时，以正本为准。</w:t>
      </w:r>
      <w:r>
        <w:rPr>
          <w:rFonts w:hint="eastAsia" w:ascii="宋体" w:hAnsi="宋体" w:eastAsia="宋体" w:cs="宋体"/>
          <w:color w:val="000000" w:themeColor="text1"/>
          <w:kern w:val="0"/>
          <w:sz w:val="24"/>
          <w:szCs w:val="24"/>
          <w:highlight w:val="none"/>
          <w14:textFill>
            <w14:solidFill>
              <w14:schemeClr w14:val="tx1"/>
            </w14:solidFill>
          </w14:textFill>
        </w:rPr>
        <w:t>本次响应文件采用胶装，否则供应商应对其响应文件未胶装而导致的缺损负责。</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u w:val="double"/>
          <w14:textFill>
            <w14:solidFill>
              <w14:schemeClr w14:val="tx1"/>
            </w14:solidFill>
          </w14:textFill>
        </w:rPr>
        <w:t>第一个信封（商务及技术文件）和第二个信封（报价文件）分别装订密封</w:t>
      </w:r>
      <w:r>
        <w:rPr>
          <w:rFonts w:hint="eastAsia" w:ascii="宋体" w:hAnsi="宋体" w:eastAsia="宋体" w:cs="宋体"/>
          <w:color w:val="000000" w:themeColor="text1"/>
          <w:kern w:val="0"/>
          <w:sz w:val="24"/>
          <w:szCs w:val="24"/>
          <w:highlight w:val="none"/>
          <w14:textFill>
            <w14:solidFill>
              <w14:schemeClr w14:val="tx1"/>
            </w14:solidFill>
          </w14:textFill>
        </w:rPr>
        <w:t>，并清楚地标明“第一个信封（商务及技术文件）”、 “第二个信封（报价文件）”。第一个信封（商务及技术文件）响应文件</w:t>
      </w:r>
      <w:r>
        <w:rPr>
          <w:rFonts w:hint="eastAsia" w:ascii="宋体" w:hAnsi="宋体" w:eastAsia="宋体" w:cs="宋体"/>
          <w:color w:val="000000" w:themeColor="text1"/>
          <w:kern w:val="0"/>
          <w:sz w:val="24"/>
          <w:szCs w:val="24"/>
          <w:highlight w:val="none"/>
          <w:u w:val="double"/>
          <w14:textFill>
            <w14:solidFill>
              <w14:schemeClr w14:val="tx1"/>
            </w14:solidFill>
          </w14:textFill>
        </w:rPr>
        <w:t>单独装订成册</w:t>
      </w:r>
      <w:r>
        <w:rPr>
          <w:rFonts w:hint="eastAsia" w:ascii="宋体" w:hAnsi="宋体" w:eastAsia="宋体" w:cs="宋体"/>
          <w:color w:val="000000" w:themeColor="text1"/>
          <w:kern w:val="0"/>
          <w:sz w:val="24"/>
          <w:szCs w:val="24"/>
          <w:highlight w:val="none"/>
          <w14:textFill>
            <w14:solidFill>
              <w14:schemeClr w14:val="tx1"/>
            </w14:solidFill>
          </w14:textFill>
        </w:rPr>
        <w:t>，第二个信封（报价文件）响应文件</w:t>
      </w:r>
      <w:r>
        <w:rPr>
          <w:rFonts w:hint="eastAsia" w:ascii="宋体" w:hAnsi="宋体" w:eastAsia="宋体" w:cs="宋体"/>
          <w:color w:val="000000" w:themeColor="text1"/>
          <w:kern w:val="0"/>
          <w:sz w:val="24"/>
          <w:szCs w:val="24"/>
          <w:highlight w:val="none"/>
          <w:u w:val="double"/>
          <w14:textFill>
            <w14:solidFill>
              <w14:schemeClr w14:val="tx1"/>
            </w14:solidFill>
          </w14:textFill>
        </w:rPr>
        <w:t>单独装订成册</w:t>
      </w:r>
      <w:r>
        <w:rPr>
          <w:rFonts w:hint="eastAsia" w:ascii="宋体" w:hAnsi="宋体" w:eastAsia="宋体" w:cs="宋体"/>
          <w:color w:val="000000" w:themeColor="text1"/>
          <w:kern w:val="0"/>
          <w:sz w:val="24"/>
          <w:szCs w:val="24"/>
          <w:highlight w:val="none"/>
          <w14:textFill>
            <w14:solidFill>
              <w14:schemeClr w14:val="tx1"/>
            </w14:solidFill>
          </w14:textFill>
        </w:rPr>
        <w:t>。封套上应载明的信息：</w:t>
      </w:r>
    </w:p>
    <w:p>
      <w:pPr>
        <w:adjustRightInd w:val="0"/>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响应文件第一个信封（商务及技术文件）</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0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（项目名称）第一个信封（商务及技术文件）响应文件</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分（询比截止时间）前不得开启</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tc>
      </w:tr>
    </w:tbl>
    <w:p>
      <w:pPr>
        <w:adjustRightInd w:val="0"/>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响应文件第二个信封（报价文件）</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0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（项目名称）第二个信封（报价文件）响应文件</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在第一个信封（商务及技术文件）评审完成前不得开启</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tc>
      </w:tr>
    </w:tbl>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响应文件的正本与副本应统一密封在一个封套中，封套应密封完好，</w:t>
      </w:r>
      <w:r>
        <w:rPr>
          <w:rFonts w:hint="eastAsia" w:ascii="宋体" w:hAnsi="宋体" w:eastAsia="宋体" w:cs="宋体"/>
          <w:color w:val="000000" w:themeColor="text1"/>
          <w:kern w:val="0"/>
          <w:sz w:val="24"/>
          <w:szCs w:val="24"/>
          <w:highlight w:val="none"/>
          <w:u w:val="double"/>
          <w14:textFill>
            <w14:solidFill>
              <w14:schemeClr w14:val="tx1"/>
            </w14:solidFill>
          </w14:textFill>
        </w:rPr>
        <w:t>封套上应加盖供应商单位公章或授权代理人签字。</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响应保证金</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（1）响应保证金金额：</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10000</w:t>
      </w:r>
      <w:r>
        <w:rPr>
          <w:rFonts w:hint="eastAsia" w:ascii="宋体" w:hAnsi="宋体" w:eastAsia="宋体" w:cs="宋体"/>
          <w:color w:val="000000" w:themeColor="text1"/>
          <w:kern w:val="0"/>
          <w:sz w:val="24"/>
          <w:szCs w:val="24"/>
          <w:highlight w:val="none"/>
          <w14:textFill>
            <w14:solidFill>
              <w14:schemeClr w14:val="tx1"/>
            </w14:solidFill>
          </w14:textFill>
        </w:rPr>
        <w:t>元。</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（2）响应保证金形式：电汇（转账）。</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若采用电汇（转账）形式，响应保证金必须由供应商的</w:t>
      </w:r>
      <w:r>
        <w:rPr>
          <w:rFonts w:hint="eastAsia" w:ascii="宋体" w:hAnsi="宋体" w:eastAsia="宋体" w:cs="宋体"/>
          <w:color w:val="000000" w:themeColor="text1"/>
          <w:kern w:val="0"/>
          <w:sz w:val="24"/>
          <w:szCs w:val="24"/>
          <w:highlight w:val="none"/>
          <w:u w:val="double"/>
          <w14:textFill>
            <w14:solidFill>
              <w14:schemeClr w14:val="tx1"/>
            </w14:solidFill>
          </w14:textFill>
        </w:rPr>
        <w:t>基本账户</w:t>
      </w:r>
      <w:r>
        <w:rPr>
          <w:rFonts w:hint="eastAsia" w:ascii="宋体" w:hAnsi="宋体" w:eastAsia="宋体" w:cs="宋体"/>
          <w:color w:val="000000" w:themeColor="text1"/>
          <w:kern w:val="0"/>
          <w:sz w:val="24"/>
          <w:szCs w:val="24"/>
          <w:highlight w:val="none"/>
          <w14:textFill>
            <w14:solidFill>
              <w14:schemeClr w14:val="tx1"/>
            </w14:solidFill>
          </w14:textFill>
        </w:rPr>
        <w:t>一次性汇入本公告所示账户，</w:t>
      </w:r>
      <w:r>
        <w:rPr>
          <w:rFonts w:hint="eastAsia" w:ascii="宋体" w:hAnsi="宋体" w:eastAsia="宋体" w:cs="宋体"/>
          <w:b/>
          <w:color w:val="000000" w:themeColor="text1"/>
          <w:kern w:val="0"/>
          <w:sz w:val="24"/>
          <w:szCs w:val="24"/>
          <w:highlight w:val="none"/>
          <w14:textFill>
            <w14:solidFill>
              <w14:schemeClr w14:val="tx1"/>
            </w14:solidFill>
          </w14:textFill>
        </w:rPr>
        <w:t>并在本项目询比截止时间前到账，否则视为无效</w:t>
      </w:r>
      <w:r>
        <w:rPr>
          <w:rFonts w:hint="eastAsia" w:ascii="宋体" w:hAnsi="宋体" w:eastAsia="宋体" w:cs="宋体"/>
          <w:color w:val="000000" w:themeColor="text1"/>
          <w:kern w:val="0"/>
          <w:sz w:val="24"/>
          <w:szCs w:val="24"/>
          <w:highlight w:val="none"/>
          <w14:textFill>
            <w14:solidFill>
              <w14:schemeClr w14:val="tx1"/>
            </w14:solidFill>
          </w14:textFill>
        </w:rPr>
        <w:t>。</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（3）响应保证金退还</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签订合同后5个工作日内，按照原来款账户全额退还中标人及未中标人响应保证金。</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询比文件澄清</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（1）供应商对询比文件的疑问应在递交响应文件截止之日3天前通过电话、邮件的方式向采购人提出；</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（2）采购人将在递交响应文件截止之日2天前以答疑澄清形式在</w:t>
      </w:r>
      <w:r>
        <w:rPr>
          <w:rFonts w:hint="eastAsia" w:ascii="宋体" w:hAnsi="宋体" w:cs="宋体"/>
          <w:color w:val="000000" w:themeColor="text1"/>
          <w:sz w:val="24"/>
          <w:szCs w:val="24"/>
          <w:highlight w:val="none"/>
          <w:lang w:eastAsia="zh-CN"/>
          <w14:textFill>
            <w14:solidFill>
              <w14:schemeClr w14:val="tx1"/>
            </w14:solidFill>
          </w14:textFill>
        </w:rPr>
        <w:t>安徽省驿达高速公路服务区经营管理有限公司</w:t>
      </w:r>
      <w:r>
        <w:rPr>
          <w:rFonts w:hint="eastAsia" w:ascii="宋体" w:hAnsi="宋体" w:eastAsia="宋体" w:cs="宋体"/>
          <w:color w:val="000000" w:themeColor="text1"/>
          <w:kern w:val="0"/>
          <w:sz w:val="24"/>
          <w:szCs w:val="24"/>
          <w:highlight w:val="none"/>
          <w14:textFill>
            <w14:solidFill>
              <w14:schemeClr w14:val="tx1"/>
            </w14:solidFill>
          </w14:textFill>
        </w:rPr>
        <w:t>网站发布。供应商应主动关注网站上的相关信息，无需回函确认；采购人不再以其他方式通知。</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履约保证金</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（1）履约保证金金额：</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%签约合同价；</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（2）履约保证金形式：电汇（转账）或银行保函；采用银行保函时，出具履约担保银行级别须为国有或股份制商业银行支行及其以上。</w:t>
      </w:r>
    </w:p>
    <w:p>
      <w:pPr>
        <w:widowControl/>
        <w:tabs>
          <w:tab w:val="left" w:pos="2300"/>
          <w:tab w:val="left" w:pos="5660"/>
        </w:tabs>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八、响应保证金账户</w:t>
      </w:r>
    </w:p>
    <w:p>
      <w:pPr>
        <w:widowControl/>
        <w:adjustRightInd w:val="0"/>
        <w:snapToGrid w:val="0"/>
        <w:spacing w:line="360" w:lineRule="auto"/>
        <w:ind w:left="480" w:leftChars="200" w:firstLine="0" w:firstLineChars="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户    名：安徽省驿达高速公路服务区经营管理有限公司</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开</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户</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银</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行：中国工商银行合肥市高新技术产业开发区支行</w:t>
      </w:r>
      <w:r>
        <w:rPr>
          <w:rFonts w:hint="eastAsia" w:ascii="宋体" w:hAnsi="宋体" w:eastAsia="宋体" w:cs="宋体"/>
          <w:color w:val="000000" w:themeColor="text1"/>
          <w:kern w:val="0"/>
          <w:sz w:val="24"/>
          <w:szCs w:val="24"/>
          <w:highlight w:val="none"/>
          <w14:textFill>
            <w14:solidFill>
              <w14:schemeClr w14:val="tx1"/>
            </w14:solidFill>
          </w14:textFill>
        </w:rPr>
        <w:br w:type="textWrapping"/>
      </w:r>
      <w:r>
        <w:rPr>
          <w:rFonts w:hint="eastAsia" w:ascii="宋体" w:hAnsi="宋体" w:eastAsia="宋体" w:cs="宋体"/>
          <w:color w:val="000000" w:themeColor="text1"/>
          <w:kern w:val="0"/>
          <w:sz w:val="24"/>
          <w:szCs w:val="24"/>
          <w:highlight w:val="none"/>
          <w14:textFill>
            <w14:solidFill>
              <w14:schemeClr w14:val="tx1"/>
            </w14:solidFill>
          </w14:textFill>
        </w:rPr>
        <w:t>账    号：1302011919201123880</w:t>
      </w:r>
    </w:p>
    <w:p>
      <w:pPr>
        <w:tabs>
          <w:tab w:val="left" w:pos="2300"/>
          <w:tab w:val="left" w:pos="5660"/>
        </w:tabs>
        <w:autoSpaceDE w:val="0"/>
        <w:autoSpaceDN w:val="0"/>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注：供应商人须在递交响应文件时一并递交退还响应保证金的收据和单位基本账户，以便后期退还响应保证金时使用。</w:t>
      </w:r>
    </w:p>
    <w:p>
      <w:pPr>
        <w:tabs>
          <w:tab w:val="left" w:pos="2300"/>
          <w:tab w:val="left" w:pos="5660"/>
        </w:tabs>
        <w:autoSpaceDE w:val="0"/>
        <w:autoSpaceDN w:val="0"/>
        <w:adjustRightInd w:val="0"/>
        <w:snapToGrid w:val="0"/>
        <w:spacing w:line="360" w:lineRule="auto"/>
        <w:ind w:firstLine="480"/>
        <w:jc w:val="right"/>
        <w:rPr>
          <w:rFonts w:hint="eastAsia" w:ascii="宋体" w:hAnsi="宋体" w:eastAsia="宋体" w:cs="宋体"/>
          <w:color w:val="000000" w:themeColor="text1"/>
          <w:sz w:val="24"/>
          <w:szCs w:val="24"/>
          <w:highlight w:val="none"/>
          <w14:textFill>
            <w14:solidFill>
              <w14:schemeClr w14:val="tx1"/>
            </w14:solidFill>
          </w14:textFill>
        </w:rPr>
      </w:pPr>
    </w:p>
    <w:p>
      <w:pPr>
        <w:tabs>
          <w:tab w:val="left" w:pos="2300"/>
          <w:tab w:val="left" w:pos="5660"/>
        </w:tabs>
        <w:autoSpaceDE w:val="0"/>
        <w:autoSpaceDN w:val="0"/>
        <w:adjustRightInd w:val="0"/>
        <w:snapToGrid w:val="0"/>
        <w:spacing w:line="360" w:lineRule="auto"/>
        <w:ind w:firstLine="480"/>
        <w:jc w:val="right"/>
        <w:rPr>
          <w:rFonts w:hint="eastAsia" w:ascii="宋体" w:hAnsi="宋体" w:eastAsia="宋体" w:cs="宋体"/>
          <w:color w:val="000000" w:themeColor="text1"/>
          <w:sz w:val="24"/>
          <w:szCs w:val="24"/>
          <w:highlight w:val="none"/>
          <w14:textFill>
            <w14:solidFill>
              <w14:schemeClr w14:val="tx1"/>
            </w14:solidFill>
          </w14:textFill>
        </w:rPr>
      </w:pPr>
    </w:p>
    <w:p>
      <w:pPr>
        <w:tabs>
          <w:tab w:val="left" w:pos="2300"/>
          <w:tab w:val="left" w:pos="5660"/>
        </w:tabs>
        <w:autoSpaceDE w:val="0"/>
        <w:autoSpaceDN w:val="0"/>
        <w:adjustRightInd w:val="0"/>
        <w:snapToGrid w:val="0"/>
        <w:spacing w:line="360" w:lineRule="auto"/>
        <w:ind w:firstLine="480"/>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2020年</w:t>
      </w:r>
      <w:r>
        <w:rPr>
          <w:rFonts w:hint="eastAsia" w:ascii="宋体" w:hAnsi="宋体" w:cs="宋体"/>
          <w:color w:val="000000" w:themeColor="text1"/>
          <w:sz w:val="24"/>
          <w:szCs w:val="24"/>
          <w:highlight w:val="none"/>
          <w:u w:val="singl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28</w:t>
      </w:r>
      <w:r>
        <w:rPr>
          <w:rFonts w:hint="eastAsia" w:ascii="宋体" w:hAnsi="宋体" w:eastAsia="宋体" w:cs="宋体"/>
          <w:color w:val="000000" w:themeColor="text1"/>
          <w:sz w:val="24"/>
          <w:szCs w:val="24"/>
          <w:highlight w:val="none"/>
          <w14:textFill>
            <w14:solidFill>
              <w14:schemeClr w14:val="tx1"/>
            </w14:solidFill>
          </w14:textFill>
        </w:rPr>
        <w:t>日</w:t>
      </w:r>
      <w:bookmarkEnd w:id="8"/>
      <w:bookmarkEnd w:id="9"/>
      <w:bookmarkEnd w:id="10"/>
      <w:bookmarkEnd w:id="11"/>
      <w:bookmarkEnd w:id="12"/>
      <w:bookmarkEnd w:id="13"/>
      <w:bookmarkEnd w:id="14"/>
      <w:bookmarkEnd w:id="15"/>
      <w:bookmarkEnd w:id="16"/>
      <w:bookmarkEnd w:id="17"/>
      <w:bookmarkEnd w:id="18"/>
      <w:bookmarkEnd w:id="19"/>
    </w:p>
    <w:p>
      <w:pPr>
        <w:widowControl/>
        <w:numPr>
          <w:ilvl w:val="0"/>
          <w:numId w:val="0"/>
        </w:numPr>
        <w:adjustRightInd w:val="0"/>
        <w:snapToGrid w:val="0"/>
        <w:spacing w:line="360" w:lineRule="auto"/>
        <w:jc w:val="center"/>
        <w:outlineLvl w:val="0"/>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bookmarkStart w:id="20" w:name="_Toc31879"/>
      <w:r>
        <w:rPr>
          <w:rFonts w:hint="eastAsia" w:ascii="宋体" w:hAnsi="宋体" w:cs="宋体"/>
          <w:color w:val="000000" w:themeColor="text1"/>
          <w:sz w:val="36"/>
          <w:szCs w:val="36"/>
          <w:highlight w:val="none"/>
          <w:lang w:val="en-US" w:eastAsia="zh-CN"/>
          <w14:textFill>
            <w14:solidFill>
              <w14:schemeClr w14:val="tx1"/>
            </w14:solidFill>
          </w14:textFill>
        </w:rPr>
        <w:t>第二章</w:t>
      </w:r>
      <w:r>
        <w:rPr>
          <w:rFonts w:hint="eastAsia" w:ascii="宋体" w:hAnsi="宋体" w:eastAsia="宋体" w:cs="宋体"/>
          <w:b w:val="0"/>
          <w:bCs w:val="0"/>
          <w:color w:val="000000" w:themeColor="text1"/>
          <w:kern w:val="0"/>
          <w:sz w:val="36"/>
          <w:szCs w:val="36"/>
          <w:highlight w:val="none"/>
          <w14:textFill>
            <w14:solidFill>
              <w14:schemeClr w14:val="tx1"/>
            </w14:solidFill>
          </w14:textFill>
        </w:rPr>
        <w:t xml:space="preserve"> </w:t>
      </w:r>
      <w:r>
        <w:rPr>
          <w:rFonts w:hint="eastAsia" w:ascii="宋体" w:hAnsi="宋体" w:cs="宋体"/>
          <w:b w:val="0"/>
          <w:bCs w:val="0"/>
          <w:color w:val="000000" w:themeColor="text1"/>
          <w:kern w:val="0"/>
          <w:sz w:val="36"/>
          <w:szCs w:val="36"/>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36"/>
          <w:szCs w:val="36"/>
          <w:highlight w:val="none"/>
          <w14:textFill>
            <w14:solidFill>
              <w14:schemeClr w14:val="tx1"/>
            </w14:solidFill>
          </w14:textFill>
        </w:rPr>
        <w:t>评审方法(综合评分法)</w:t>
      </w:r>
      <w:bookmarkEnd w:id="20"/>
    </w:p>
    <w:p>
      <w:pPr>
        <w:pStyle w:val="21"/>
        <w:numPr>
          <w:ilvl w:val="0"/>
          <w:numId w:val="0"/>
        </w:numPr>
        <w:rPr>
          <w:rFonts w:hint="eastAsia"/>
          <w:color w:val="000000" w:themeColor="text1"/>
          <w:highlight w:val="none"/>
          <w14:textFill>
            <w14:solidFill>
              <w14:schemeClr w14:val="tx1"/>
            </w14:solidFill>
          </w14:textFill>
        </w:rPr>
      </w:pP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本次评审采用综合评分法。评审小组对满足询比文件实质要求的响应文件进行商务技术和报价打分，按照综合得分由高到低的顺序推荐成交候选人，但报价低于其成本的除外。</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综合评分得分相等时，评标委员会依次按照以下优先顺序推荐中标候选人：综合评分相等时，以</w:t>
      </w:r>
      <w:r>
        <w:rPr>
          <w:rFonts w:hint="eastAsia" w:ascii="宋体" w:hAnsi="宋体" w:cs="宋体"/>
          <w:color w:val="000000" w:themeColor="text1"/>
          <w:kern w:val="0"/>
          <w:sz w:val="24"/>
          <w:szCs w:val="24"/>
          <w:highlight w:val="none"/>
          <w:lang w:eastAsia="zh-CN"/>
          <w14:textFill>
            <w14:solidFill>
              <w14:schemeClr w14:val="tx1"/>
            </w14:solidFill>
          </w14:textFill>
        </w:rPr>
        <w:t>竞标</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报价低的优先；</w:t>
      </w:r>
      <w:r>
        <w:rPr>
          <w:rFonts w:hint="eastAsia" w:ascii="宋体" w:hAnsi="宋体" w:cs="宋体"/>
          <w:color w:val="000000" w:themeColor="text1"/>
          <w:kern w:val="0"/>
          <w:sz w:val="24"/>
          <w:szCs w:val="24"/>
          <w:highlight w:val="none"/>
          <w:lang w:eastAsia="zh-CN"/>
          <w14:textFill>
            <w14:solidFill>
              <w14:schemeClr w14:val="tx1"/>
            </w14:solidFill>
          </w14:textFill>
        </w:rPr>
        <w:t>竞标</w:t>
      </w:r>
      <w:r>
        <w:rPr>
          <w:rFonts w:hint="eastAsia" w:ascii="宋体" w:hAnsi="宋体" w:eastAsia="宋体" w:cs="宋体"/>
          <w:color w:val="000000" w:themeColor="text1"/>
          <w:kern w:val="0"/>
          <w:sz w:val="24"/>
          <w:szCs w:val="24"/>
          <w:highlight w:val="none"/>
          <w:lang w:eastAsia="zh-CN"/>
          <w14:textFill>
            <w14:solidFill>
              <w14:schemeClr w14:val="tx1"/>
            </w14:solidFill>
          </w14:textFill>
        </w:rPr>
        <w:t>报价也相等的，以</w:t>
      </w:r>
      <w:r>
        <w:rPr>
          <w:rFonts w:hint="eastAsia" w:ascii="宋体" w:hAnsi="宋体" w:cs="宋体"/>
          <w:color w:val="000000" w:themeColor="text1"/>
          <w:kern w:val="0"/>
          <w:sz w:val="24"/>
          <w:szCs w:val="24"/>
          <w:highlight w:val="none"/>
          <w:lang w:val="en-US" w:eastAsia="zh-CN"/>
          <w14:textFill>
            <w14:solidFill>
              <w14:schemeClr w14:val="tx1"/>
            </w14:solidFill>
          </w14:textFill>
        </w:rPr>
        <w:t>方案</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得分高的优先；如果</w:t>
      </w:r>
      <w:r>
        <w:rPr>
          <w:rFonts w:hint="eastAsia" w:ascii="宋体" w:hAnsi="宋体" w:cs="宋体"/>
          <w:color w:val="000000" w:themeColor="text1"/>
          <w:kern w:val="0"/>
          <w:sz w:val="24"/>
          <w:szCs w:val="24"/>
          <w:highlight w:val="none"/>
          <w:lang w:val="en-US" w:eastAsia="zh-CN"/>
          <w14:textFill>
            <w14:solidFill>
              <w14:schemeClr w14:val="tx1"/>
            </w14:solidFill>
          </w14:textFill>
        </w:rPr>
        <w:t>方案</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得分也相等，则按业绩累计金额从高到低顺序。</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评审小组分两阶段评审：</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评审小组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首先对</w:t>
      </w:r>
      <w:r>
        <w:rPr>
          <w:rFonts w:hint="eastAsia" w:ascii="宋体" w:hAnsi="宋体" w:eastAsia="宋体" w:cs="宋体"/>
          <w:color w:val="000000" w:themeColor="text1"/>
          <w:kern w:val="0"/>
          <w:sz w:val="24"/>
          <w:szCs w:val="24"/>
          <w:highlight w:val="none"/>
          <w14:textFill>
            <w14:solidFill>
              <w14:schemeClr w14:val="tx1"/>
            </w14:solidFill>
          </w14:textFill>
        </w:rPr>
        <w:t>第一个信封（商务及技术文件）进行初步审查及响应性评审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，确定通过</w:t>
      </w:r>
      <w:r>
        <w:rPr>
          <w:rFonts w:hint="eastAsia" w:ascii="宋体" w:hAnsi="宋体" w:eastAsia="宋体" w:cs="宋体"/>
          <w:color w:val="000000" w:themeColor="text1"/>
          <w:kern w:val="0"/>
          <w:sz w:val="24"/>
          <w:szCs w:val="24"/>
          <w:highlight w:val="none"/>
          <w14:textFill>
            <w14:solidFill>
              <w14:schemeClr w14:val="tx1"/>
            </w14:solidFill>
          </w14:textFill>
        </w:rPr>
        <w:t>第一个信封（商务及技术文件）初步审查及响应性评审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名单，并对通过</w:t>
      </w:r>
      <w:r>
        <w:rPr>
          <w:rFonts w:hint="eastAsia" w:ascii="宋体" w:hAnsi="宋体" w:eastAsia="宋体" w:cs="宋体"/>
          <w:color w:val="000000" w:themeColor="text1"/>
          <w:kern w:val="0"/>
          <w:sz w:val="24"/>
          <w:szCs w:val="24"/>
          <w:highlight w:val="none"/>
          <w14:textFill>
            <w14:solidFill>
              <w14:schemeClr w14:val="tx1"/>
            </w14:solidFill>
          </w14:textFill>
        </w:rPr>
        <w:t>初步审查及响应性评审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的</w:t>
      </w:r>
      <w:r>
        <w:rPr>
          <w:rFonts w:hint="eastAsia" w:ascii="宋体" w:hAnsi="宋体" w:eastAsia="宋体" w:cs="宋体"/>
          <w:color w:val="000000" w:themeColor="text1"/>
          <w:kern w:val="0"/>
          <w:sz w:val="24"/>
          <w:szCs w:val="24"/>
          <w:highlight w:val="none"/>
          <w14:textFill>
            <w14:solidFill>
              <w14:schemeClr w14:val="tx1"/>
            </w14:solidFill>
          </w14:textFill>
        </w:rPr>
        <w:t>第一个信封（商务及技术文件）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进行</w:t>
      </w:r>
      <w:r>
        <w:rPr>
          <w:rFonts w:hint="eastAsia" w:ascii="宋体" w:hAnsi="宋体" w:cs="宋体"/>
          <w:color w:val="000000" w:themeColor="text1"/>
          <w:kern w:val="0"/>
          <w:sz w:val="24"/>
          <w:szCs w:val="24"/>
          <w:highlight w:val="none"/>
          <w:lang w:val="en-US" w:eastAsia="zh-CN"/>
          <w14:textFill>
            <w14:solidFill>
              <w14:schemeClr w14:val="tx1"/>
            </w14:solidFill>
          </w14:textFill>
        </w:rPr>
        <w:t>详细评审和</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综合</w:t>
      </w:r>
      <w:r>
        <w:rPr>
          <w:rFonts w:hint="eastAsia" w:ascii="宋体" w:hAnsi="宋体" w:cs="宋体"/>
          <w:color w:val="000000" w:themeColor="text1"/>
          <w:kern w:val="0"/>
          <w:sz w:val="24"/>
          <w:szCs w:val="24"/>
          <w:highlight w:val="none"/>
          <w:lang w:val="en-US" w:eastAsia="zh-CN"/>
          <w14:textFill>
            <w14:solidFill>
              <w14:schemeClr w14:val="tx1"/>
            </w14:solidFill>
          </w14:textFill>
        </w:rPr>
        <w:t>打</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分。</w:t>
      </w:r>
      <w:r>
        <w:rPr>
          <w:rFonts w:hint="eastAsia" w:ascii="宋体" w:hAnsi="宋体" w:eastAsia="宋体" w:cs="宋体"/>
          <w:color w:val="000000" w:themeColor="text1"/>
          <w:kern w:val="0"/>
          <w:sz w:val="24"/>
          <w:szCs w:val="24"/>
          <w:highlight w:val="none"/>
          <w14:textFill>
            <w14:solidFill>
              <w14:schemeClr w14:val="tx1"/>
            </w14:solidFill>
          </w14:textFill>
        </w:rPr>
        <w:t>第一个信封（商务及技术文件）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得分，取各评委评分的平均值，结果保留2位小数，第三位四舍五入。</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2、开启所有通过第一个信封（商务及技术文件）初步审查及响应性评审的供应商的第二个信封（报价文件）（未通过商务技术文件评审的供应商的报价文件在开标现场退还）。</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3、</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评审小组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对已开启的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第二个信封（报价文件）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进行初步审查及响应性评审，并对通过初步审查及响应性评审的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第二个信封（报价文件）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进行详细评审和综合</w:t>
      </w:r>
      <w:r>
        <w:rPr>
          <w:rFonts w:hint="eastAsia" w:ascii="宋体" w:hAnsi="宋体" w:cs="宋体"/>
          <w:color w:val="000000" w:themeColor="text1"/>
          <w:kern w:val="0"/>
          <w:sz w:val="24"/>
          <w:szCs w:val="24"/>
          <w:highlight w:val="none"/>
          <w:lang w:val="en-US" w:eastAsia="zh-CN"/>
          <w14:textFill>
            <w14:solidFill>
              <w14:schemeClr w14:val="tx1"/>
            </w14:solidFill>
          </w14:textFill>
        </w:rPr>
        <w:t>打</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分。</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4、按</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第一个信封（商务及技术文件）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综合得分和</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第二个信封（报价文件）</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综合得分的总分由高到低的顺序推荐1-3名中标候选人。</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本项目评审小组由采购人代表</w:t>
      </w:r>
      <w:r>
        <w:rPr>
          <w:rFonts w:hint="eastAsia" w:ascii="宋体" w:hAnsi="宋体" w:eastAsia="宋体" w:cs="宋体"/>
          <w:color w:val="000000" w:themeColor="text1"/>
          <w:kern w:val="0"/>
          <w:sz w:val="24"/>
          <w:szCs w:val="24"/>
          <w:highlight w:val="none"/>
          <w:u w:val="single"/>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人及专家评委</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3 </w:t>
      </w:r>
      <w:r>
        <w:rPr>
          <w:rFonts w:hint="eastAsia" w:ascii="宋体" w:hAnsi="宋体" w:eastAsia="宋体" w:cs="宋体"/>
          <w:color w:val="000000" w:themeColor="text1"/>
          <w:kern w:val="0"/>
          <w:sz w:val="24"/>
          <w:szCs w:val="24"/>
          <w:highlight w:val="none"/>
          <w14:textFill>
            <w14:solidFill>
              <w14:schemeClr w14:val="tx1"/>
            </w14:solidFill>
          </w14:textFill>
        </w:rPr>
        <w:t>人共同组成，评审小组按以下程序进行评审。</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1、初步审查及响应性评审</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响应文件第一个信封（商务及技术文件）：</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（1）供应商资格符合询比公告中所列各项资格条件要求；</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（2）响应文件签字、盖章齐全，符合响应文件格式规定；</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（3）未出现报价的相关内容；</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（4）响应保证金递交符合询比文件要求；</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（5）响应文件内容齐全，格式符合询比文件要求；</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（6）响应文件正、副本份数符合询比文件要求。</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响应文件第二个信封（报价文件）：</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（1）响应文件签字、盖章齐全，符合响应文件格式规定；</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（2）报价未超出采购人规定的采购最高限价（</w:t>
      </w:r>
      <w:r>
        <w:rPr>
          <w:rFonts w:hint="eastAsia" w:ascii="宋体" w:hAnsi="宋体" w:cs="宋体"/>
          <w:color w:val="000000" w:themeColor="text1"/>
          <w:kern w:val="0"/>
          <w:sz w:val="24"/>
          <w:szCs w:val="24"/>
          <w:highlight w:val="none"/>
          <w:lang w:val="en-US" w:eastAsia="zh-CN"/>
          <w14:textFill>
            <w14:solidFill>
              <w14:schemeClr w14:val="tx1"/>
            </w14:solidFill>
          </w14:textFill>
        </w:rPr>
        <w:t>950000.00</w:t>
      </w:r>
      <w:r>
        <w:rPr>
          <w:rFonts w:hint="eastAsia" w:ascii="宋体" w:hAnsi="宋体" w:eastAsia="宋体" w:cs="宋体"/>
          <w:color w:val="000000" w:themeColor="text1"/>
          <w:kern w:val="0"/>
          <w:sz w:val="24"/>
          <w:szCs w:val="24"/>
          <w:highlight w:val="none"/>
          <w14:textFill>
            <w14:solidFill>
              <w14:schemeClr w14:val="tx1"/>
            </w14:solidFill>
          </w14:textFill>
        </w:rPr>
        <w:t>元）；</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（3）响应文件内容齐全，格式符合询比文件要求；</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（4）未修改采购人提供的工程量清单（包含清单说明、单位、数量等）；</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（5）响应文件正、副本份数符合询比文件要求。</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供应商有不满足上述条件之一的，不通过初步审查及响应性评审。</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2、详细评审</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评审小组对通过初步审查及响应性评审的响应文件按以下量化因素和分值进行评分，计算出综合得分：</w:t>
      </w:r>
    </w:p>
    <w:tbl>
      <w:tblPr>
        <w:tblStyle w:val="22"/>
        <w:tblpPr w:leftFromText="180" w:rightFromText="180" w:vertAnchor="text" w:horzAnchor="page" w:tblpX="1787" w:tblpY="22"/>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020" w:type="dxa"/>
            <w:vAlign w:val="center"/>
          </w:tcPr>
          <w:p>
            <w:pPr>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条款内容</w:t>
            </w:r>
          </w:p>
        </w:tc>
        <w:tc>
          <w:tcPr>
            <w:tcW w:w="6520" w:type="dxa"/>
            <w:vAlign w:val="center"/>
          </w:tcPr>
          <w:p>
            <w:pPr>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020" w:type="dxa"/>
            <w:vAlign w:val="center"/>
          </w:tcPr>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分值构成（100分)</w:t>
            </w:r>
          </w:p>
        </w:tc>
        <w:tc>
          <w:tcPr>
            <w:tcW w:w="6520" w:type="dxa"/>
            <w:vAlign w:val="center"/>
          </w:tcPr>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第一个信封</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 商务及技术文件）评分分值构成：</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70分</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方    案：</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技术能力：</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企业业绩</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服务能力：</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p>
            <w:pPr>
              <w:adjustRightInd w:val="0"/>
              <w:snapToGrid w:val="0"/>
              <w:spacing w:line="240" w:lineRule="auto"/>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人员要求：5分</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第二个信封</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报价文件）评分分值构成：</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30分</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评标价：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020" w:type="dxa"/>
            <w:vAlign w:val="center"/>
          </w:tcPr>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评标基准价计算方法</w:t>
            </w:r>
          </w:p>
        </w:tc>
        <w:tc>
          <w:tcPr>
            <w:tcW w:w="6520" w:type="dxa"/>
            <w:vAlign w:val="center"/>
          </w:tcPr>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评标基准价的计算：</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评标价的确定：</w:t>
            </w:r>
          </w:p>
          <w:p>
            <w:pPr>
              <w:spacing w:line="240" w:lineRule="auto"/>
              <w:ind w:firstLine="426" w:firstLineChars="203"/>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函文字报价</w:t>
            </w:r>
          </w:p>
          <w:p>
            <w:pPr>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（2）评标价平均值的计算：</w:t>
            </w:r>
          </w:p>
          <w:p>
            <w:pPr>
              <w:spacing w:line="240" w:lineRule="auto"/>
              <w:ind w:firstLine="426" w:firstLineChars="203"/>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对进入评审的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响应人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的评标价由高到低进行排序，有效响应人≥5家时分别去掉一个最高价和一个最低价后的算术平均值即为评标价平均值；如果参与评标价平均值计算的有效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响应人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&lt;5家时，则计算评标价平均值时不去掉最高值和最低值。</w:t>
            </w:r>
          </w:p>
          <w:p>
            <w:pPr>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）评标基准价的确定：</w:t>
            </w:r>
          </w:p>
          <w:p>
            <w:pPr>
              <w:spacing w:line="240" w:lineRule="auto"/>
              <w:ind w:firstLine="426" w:firstLineChars="203"/>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评标基准价=有效报价的平均值（未通过“形式评审与响应性评审”的响应人不开启其</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价，其</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价不参与评标基准价的确定）</w:t>
            </w:r>
          </w:p>
          <w:p>
            <w:pPr>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如果响应人认为评标基准价计算有误，有权在开标现场提出，经监标人当场核实确认之后，可重新宣布评标基准价。确认后的评标基准价在整个评标期间保持不变。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020" w:type="dxa"/>
            <w:vAlign w:val="center"/>
          </w:tcPr>
          <w:p>
            <w:pPr>
              <w:pStyle w:val="31"/>
              <w:spacing w:line="240" w:lineRule="auto"/>
              <w:ind w:right="374" w:rightChars="0"/>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竞标报价的偏差率计算公式</w:t>
            </w:r>
          </w:p>
        </w:tc>
        <w:tc>
          <w:tcPr>
            <w:tcW w:w="6520" w:type="dxa"/>
            <w:vAlign w:val="center"/>
          </w:tcPr>
          <w:p>
            <w:pPr>
              <w:keepNext w:val="0"/>
              <w:keepLines w:val="0"/>
              <w:pageBreakBefore w:val="0"/>
              <w:widowControl w:val="0"/>
              <w:kinsoku/>
              <w:wordWrap/>
              <w:overflowPunct/>
              <w:topLinePunct w:val="0"/>
              <w:autoSpaceDE/>
              <w:autoSpaceDN/>
              <w:bidi w:val="0"/>
              <w:snapToGrid/>
              <w:spacing w:line="240" w:lineRule="auto"/>
              <w:jc w:val="both"/>
              <w:textAlignment w:val="auto"/>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偏差率＝100% ×（</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评标价－评标基准价）/评标基准价</w:t>
            </w:r>
          </w:p>
        </w:tc>
      </w:tr>
    </w:tbl>
    <w:p>
      <w:pP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br w:type="page"/>
      </w:r>
    </w:p>
    <w:tbl>
      <w:tblPr>
        <w:tblStyle w:val="22"/>
        <w:tblpPr w:leftFromText="180" w:rightFromText="180" w:vertAnchor="page" w:horzAnchor="page" w:tblpX="1238" w:tblpY="1647"/>
        <w:tblOverlap w:val="never"/>
        <w:tblW w:w="9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036"/>
        <w:gridCol w:w="666"/>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blHeader/>
        </w:trPr>
        <w:tc>
          <w:tcPr>
            <w:tcW w:w="3031" w:type="dxa"/>
            <w:gridSpan w:val="2"/>
            <w:vAlign w:val="center"/>
          </w:tcPr>
          <w:p>
            <w:pPr>
              <w:pStyle w:val="31"/>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评分因素</w:t>
            </w:r>
          </w:p>
        </w:tc>
        <w:tc>
          <w:tcPr>
            <w:tcW w:w="666" w:type="dxa"/>
            <w:vAlign w:val="center"/>
          </w:tcPr>
          <w:p>
            <w:pPr>
              <w:pStyle w:val="31"/>
              <w:snapToGrid w:val="0"/>
              <w:spacing w:before="40" w:line="240" w:lineRule="auto"/>
              <w:ind w:left="8" w:leftChars="0" w:right="8" w:rightChars="0"/>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分值</w:t>
            </w:r>
          </w:p>
        </w:tc>
        <w:tc>
          <w:tcPr>
            <w:tcW w:w="6285" w:type="dxa"/>
            <w:vAlign w:val="center"/>
          </w:tcPr>
          <w:p>
            <w:pPr>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blHeader/>
        </w:trPr>
        <w:tc>
          <w:tcPr>
            <w:tcW w:w="1995"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企业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能力</w:t>
            </w:r>
          </w:p>
          <w:p>
            <w:pPr>
              <w:spacing w:line="240" w:lineRule="auto"/>
              <w:ind w:left="-120" w:leftChars="-50" w:right="-120"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企业</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业绩</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napToGrid w:val="0"/>
              <w:spacing w:line="240" w:lineRule="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满足资格审查条件业绩最低要求得</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15</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分，在此基础上每</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增加一个</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近三年（20</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年1月1日至</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今</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）独立完成过</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合同金额不少于</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万元的类似软件系统开发项目</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业绩的加5分</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最多加10</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分，</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本项满分25分。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blHeader/>
        </w:trPr>
        <w:tc>
          <w:tcPr>
            <w:tcW w:w="1995" w:type="dxa"/>
            <w:vAlign w:val="center"/>
          </w:tcPr>
          <w:p>
            <w:pPr>
              <w:snapToGrid w:val="0"/>
              <w:spacing w:line="240" w:lineRule="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人员要求（5分）</w:t>
            </w:r>
          </w:p>
        </w:tc>
        <w:tc>
          <w:tcPr>
            <w:tcW w:w="1036" w:type="dxa"/>
            <w:vAlign w:val="center"/>
          </w:tcPr>
          <w:p>
            <w:pPr>
              <w:snapToGrid w:val="0"/>
              <w:spacing w:line="240" w:lineRule="auto"/>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default"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主要人员任职资格</w:t>
            </w:r>
          </w:p>
        </w:tc>
        <w:tc>
          <w:tcPr>
            <w:tcW w:w="666" w:type="dxa"/>
            <w:vAlign w:val="center"/>
          </w:tcPr>
          <w:p>
            <w:pPr>
              <w:snapToGrid w:val="0"/>
              <w:spacing w:line="240" w:lineRule="auto"/>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分</w:t>
            </w:r>
          </w:p>
        </w:tc>
        <w:tc>
          <w:tcPr>
            <w:tcW w:w="6285" w:type="dxa"/>
            <w:vAlign w:val="center"/>
          </w:tcPr>
          <w:p>
            <w:pPr>
              <w:snapToGrid w:val="0"/>
              <w:spacing w:line="240" w:lineRule="auto"/>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pPr>
            <w:r>
              <w:rPr>
                <w:rFonts w:hint="default"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满足资格审查条件要求得</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3</w:t>
            </w:r>
            <w:r>
              <w:rPr>
                <w:rFonts w:hint="default"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分；</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项目</w:t>
            </w:r>
            <w:r>
              <w:rPr>
                <w:rFonts w:hint="default"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负责人具有</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计算机技术与软件专业技术资格（水平）考试高级资格证书的</w:t>
            </w:r>
            <w:r>
              <w:rPr>
                <w:rFonts w:hint="default"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加</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2</w:t>
            </w:r>
            <w:r>
              <w:rPr>
                <w:rFonts w:hint="default"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分，</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本项满分5分。（</w:t>
            </w:r>
            <w:r>
              <w:rPr>
                <w:rFonts w:hint="eastAsia" w:asciiTheme="minorEastAsia" w:hAnsiTheme="minorEastAsia" w:eastAsiaTheme="minorEastAsia" w:cstheme="minorEastAsia"/>
                <w:b w:val="0"/>
                <w:bCs w:val="0"/>
                <w:color w:val="000000" w:themeColor="text1"/>
                <w:sz w:val="21"/>
                <w:szCs w:val="21"/>
                <w:highlight w:val="none"/>
                <w:lang w:eastAsia="zh-CN"/>
                <w14:textFill>
                  <w14:solidFill>
                    <w14:schemeClr w14:val="tx1"/>
                  </w14:solidFill>
                </w14:textFill>
              </w:rPr>
              <w:t>高级：信息系统项目管理师、网络规划设计师、系统架构设计师、系统分析师、系统规划与管理师等</w:t>
            </w:r>
            <w:r>
              <w:rPr>
                <w:rFonts w:hint="eastAsia" w:asciiTheme="minorEastAsia" w:hAnsiTheme="minorEastAsia" w:eastAsiaTheme="minorEastAsia" w:cstheme="minorEastAsia"/>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blHeader/>
        </w:trPr>
        <w:tc>
          <w:tcPr>
            <w:tcW w:w="1995" w:type="dxa"/>
            <w:vMerge w:val="restart"/>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方案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分）</w:t>
            </w: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架构设计</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架构设计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和总体工作思路基本可行，得</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3.6</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分；对项目理解深入、细致，总体工作思路清晰合理</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的酌情</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加0-2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满分6分</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trPr>
        <w:tc>
          <w:tcPr>
            <w:tcW w:w="1995" w:type="dxa"/>
            <w:vMerge w:val="continue"/>
            <w:vAlign w:val="center"/>
          </w:tcPr>
          <w:p>
            <w:pPr>
              <w:spacing w:line="240" w:lineRule="auto"/>
              <w:ind w:left="-120" w:leftChars="-50" w:right="-120"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流程设计</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询比</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要求得3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分，根据核心业务流程设计的针对性、合理性，</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酌情</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加0-2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满分6分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blHeader/>
        </w:trPr>
        <w:tc>
          <w:tcPr>
            <w:tcW w:w="1995" w:type="dxa"/>
            <w:vMerge w:val="continue"/>
            <w:vAlign w:val="center"/>
          </w:tcPr>
          <w:p>
            <w:pPr>
              <w:spacing w:line="240" w:lineRule="auto"/>
              <w:ind w:left="-120" w:leftChars="-50" w:right="-120"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功能设计</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询比</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分，根据功能设计的针对性、合理性、适用性，</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酌情</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加0-</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4.8</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满分12分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trPr>
        <w:tc>
          <w:tcPr>
            <w:tcW w:w="1995" w:type="dxa"/>
            <w:vMerge w:val="continue"/>
            <w:vAlign w:val="center"/>
          </w:tcPr>
          <w:p>
            <w:pPr>
              <w:spacing w:line="240" w:lineRule="auto"/>
              <w:ind w:left="-120" w:leftChars="-50" w:right="-120"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安全设计</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询比</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要求得3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分，根据安全设计有效性、实用性，</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酌情</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加0-2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满分6分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blHeader/>
        </w:trPr>
        <w:tc>
          <w:tcPr>
            <w:tcW w:w="1995" w:type="dxa"/>
            <w:vAlign w:val="center"/>
          </w:tcPr>
          <w:p>
            <w:pPr>
              <w:adjustRightInd w:val="0"/>
              <w:spacing w:line="240" w:lineRule="auto"/>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技术能力</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c>
          <w:tcPr>
            <w:tcW w:w="1036" w:type="dxa"/>
            <w:vAlign w:val="center"/>
          </w:tcPr>
          <w:p>
            <w:pPr>
              <w:adjustRightInd w:val="0"/>
              <w:spacing w:line="24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软件著作权</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5分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具有</w:t>
            </w:r>
            <w:r>
              <w:rPr>
                <w:rFonts w:hint="eastAsia" w:asciiTheme="minorEastAsia" w:hAnsiTheme="minorEastAsia" w:eastAsiaTheme="minorEastAsia" w:cstheme="minorEastAsia"/>
                <w:color w:val="000000" w:themeColor="text1"/>
                <w:sz w:val="21"/>
                <w:szCs w:val="21"/>
                <w:highlight w:val="none"/>
                <w:u w:val="none"/>
                <w:lang w:val="en-US" w:eastAsia="zh-CN"/>
                <w14:textFill>
                  <w14:solidFill>
                    <w14:schemeClr w14:val="tx1"/>
                  </w14:solidFill>
                </w14:textFill>
              </w:rPr>
              <w:t>计算机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类软件著作权（名称含</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“系统”或“平台”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关键字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），每项加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，最多加</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blHeader/>
        </w:trPr>
        <w:tc>
          <w:tcPr>
            <w:tcW w:w="1995" w:type="dxa"/>
            <w:vMerge w:val="restart"/>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服务能力</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u w:val="singl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本地化服务能力</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u w:val="singl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在本地具有服务机构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提供固定场所及人员等证明材料</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承诺中标即设立本地服务机构（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提供承诺书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的加2分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blHeader/>
        </w:trPr>
        <w:tc>
          <w:tcPr>
            <w:tcW w:w="1995" w:type="dxa"/>
            <w:vMerge w:val="continue"/>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p>
        </w:tc>
        <w:tc>
          <w:tcPr>
            <w:tcW w:w="103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售后服务能力</w:t>
            </w:r>
          </w:p>
        </w:tc>
        <w:tc>
          <w:tcPr>
            <w:tcW w:w="666" w:type="dxa"/>
            <w:vAlign w:val="center"/>
          </w:tcPr>
          <w:p>
            <w:pPr>
              <w:snapToGrid w:val="0"/>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napToGrid w:val="0"/>
              <w:spacing w:line="24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提供售后服务方案满足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采购文件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要求的得基本分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分，根据售后服务方案的时效性</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完整性等酌情加0-</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分，满分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blHeader/>
        </w:trPr>
        <w:tc>
          <w:tcPr>
            <w:tcW w:w="3031" w:type="dxa"/>
            <w:gridSpan w:val="2"/>
            <w:vAlign w:val="center"/>
          </w:tcPr>
          <w:p>
            <w:pPr>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评标价</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tc>
        <w:tc>
          <w:tcPr>
            <w:tcW w:w="666" w:type="dxa"/>
            <w:vAlign w:val="center"/>
          </w:tcPr>
          <w:p>
            <w:pPr>
              <w:spacing w:line="240" w:lineRule="auto"/>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分</w:t>
            </w:r>
          </w:p>
        </w:tc>
        <w:tc>
          <w:tcPr>
            <w:tcW w:w="6285" w:type="dxa"/>
            <w:vAlign w:val="center"/>
          </w:tcPr>
          <w:p>
            <w:pPr>
              <w:spacing w:line="24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评标价得分计算公式示例：</w:t>
            </w:r>
          </w:p>
          <w:p>
            <w:pPr>
              <w:pStyle w:val="36"/>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1.如果响应人的评标价&gt;评标基准价，则评标价得分＝F-偏差率×100×E1；</w:t>
            </w:r>
          </w:p>
          <w:p>
            <w:pPr>
              <w:pStyle w:val="36"/>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2.如果响应人的评标价≤评标基准价，则评标价得分＝F+偏差率×100×E2。</w:t>
            </w:r>
          </w:p>
          <w:p>
            <w:pPr>
              <w:pStyle w:val="36"/>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其中F＝</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，E1＝0.25，E2＝0.2。</w:t>
            </w:r>
          </w:p>
          <w:p>
            <w:pPr>
              <w:pStyle w:val="36"/>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即评标价等于评标基准价时得</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0分，评标价每高于评标基准价1%的扣0.25分，评标价每低于评标基准价1%的扣0.2分。最高得分为</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0分，最低得分为0分。</w:t>
            </w:r>
          </w:p>
          <w:p>
            <w:pPr>
              <w:pStyle w:val="36"/>
              <w:adjustRightInd w:val="0"/>
              <w:snapToGrid w:val="0"/>
              <w:spacing w:line="24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所有有效评标价的算数平均值作为评标基准价。</w:t>
            </w:r>
          </w:p>
          <w:p>
            <w:pPr>
              <w:spacing w:line="240" w:lineRule="auto"/>
              <w:jc w:val="left"/>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偏差率＝100% ×（响应人评标价－评标基准价）/评标基准价。</w:t>
            </w:r>
          </w:p>
        </w:tc>
      </w:tr>
    </w:tbl>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3、算术性修正</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供应商报价有算术错误的，评审小组按以下原则对报价进行修正，修正的价格经供应商书面确认后具有约束力。供应商不接受修正价格的，评审小组应否决其</w:t>
      </w:r>
      <w:r>
        <w:rPr>
          <w:rFonts w:hint="eastAsia" w:ascii="宋体" w:hAnsi="宋体" w:cs="宋体"/>
          <w:color w:val="000000" w:themeColor="text1"/>
          <w:kern w:val="0"/>
          <w:sz w:val="24"/>
          <w:szCs w:val="24"/>
          <w:highlight w:val="none"/>
          <w:lang w:eastAsia="zh-CN"/>
          <w14:textFill>
            <w14:solidFill>
              <w14:schemeClr w14:val="tx1"/>
            </w14:solidFill>
          </w14:textFill>
        </w:rPr>
        <w:t>竞标</w:t>
      </w:r>
      <w:r>
        <w:rPr>
          <w:rFonts w:hint="eastAsia" w:ascii="宋体" w:hAnsi="宋体" w:eastAsia="宋体" w:cs="宋体"/>
          <w:color w:val="000000" w:themeColor="text1"/>
          <w:kern w:val="0"/>
          <w:sz w:val="24"/>
          <w:szCs w:val="24"/>
          <w:highlight w:val="none"/>
          <w14:textFill>
            <w14:solidFill>
              <w14:schemeClr w14:val="tx1"/>
            </w14:solidFill>
          </w14:textFill>
        </w:rPr>
        <w:t>。</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（1）响应文件中的大写金额与小写金额不一致的，以大写金额为准；</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（2）总价金额与依据单价计算出的结果不一致的，以单价金额为准修正总价， 但单价金额小数点有明显错误的除外；</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（3）当单价与数量相乘不等于合价时，以单价计算为准，如果单价有明显的小数点位置差错，应以标出的合价为准，同时对单价予以修正；</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（4）当各子目的合价累计不等于总价时，应以各子目合价累计数为准，修正总价。</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4、推荐成交候选人</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对满足初步审查及响应性评审、算术性修正的响应文件，评审小组计算响应文件综合评分＝商务技术得分＋响应报价得分。按照综合得分由高到低的顺序推荐 </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3名成交候选人</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如不足3人，按相关规定处理。综合得分相等时，响应报价低的供应商优先，响应报价也相等时，由评审小组通过抽签的形式确定排序。</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5、出现以下情况之一的，作为询比失败处理，应重新组织询比：</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（1）出现影响询比公正的违法、违规行为的；</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（2）因不可抗力导致重大变故，本项目取消的。</w:t>
      </w:r>
    </w:p>
    <w:p>
      <w:pPr>
        <w:widowControl/>
        <w:tabs>
          <w:tab w:val="left" w:pos="180"/>
          <w:tab w:val="left" w:pos="720"/>
        </w:tabs>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（3）递交响应文件的供应商少于3家。</w:t>
      </w:r>
    </w:p>
    <w:p>
      <w:pPr>
        <w:widowControl/>
        <w:adjustRightInd w:val="0"/>
        <w:snapToGrid w:val="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bookmarkStart w:id="21" w:name="_Toc481497225"/>
      <w:bookmarkStart w:id="22" w:name="_Toc489441267"/>
    </w:p>
    <w:bookmarkEnd w:id="21"/>
    <w:bookmarkEnd w:id="22"/>
    <w:p>
      <w:pPr>
        <w:adjustRightInd w:val="0"/>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5"/>
        <w:adjustRightInd w:val="0"/>
        <w:snapToGrid w:val="0"/>
        <w:spacing w:before="0" w:after="0" w:line="360" w:lineRule="auto"/>
        <w:jc w:val="center"/>
        <w:rPr>
          <w:rFonts w:hint="eastAsia" w:ascii="宋体" w:hAnsi="宋体" w:eastAsia="宋体" w:cs="宋体"/>
          <w:color w:val="000000" w:themeColor="text1"/>
          <w:sz w:val="44"/>
          <w:szCs w:val="44"/>
          <w:highlight w:val="none"/>
          <w14:textFill>
            <w14:solidFill>
              <w14:schemeClr w14:val="tx1"/>
            </w14:solidFill>
          </w14:textFill>
        </w:rPr>
      </w:pPr>
      <w:bookmarkStart w:id="23" w:name="_Toc1958"/>
      <w:bookmarkStart w:id="24" w:name="_Toc10411"/>
      <w:bookmarkStart w:id="25" w:name="_Toc594"/>
      <w:bookmarkStart w:id="26" w:name="_Toc31956"/>
      <w:bookmarkStart w:id="27" w:name="_Toc26511"/>
      <w:bookmarkStart w:id="28" w:name="_Toc189369360"/>
      <w:r>
        <w:rPr>
          <w:rFonts w:hint="eastAsia" w:ascii="宋体" w:hAnsi="宋体" w:eastAsia="宋体" w:cs="宋体"/>
          <w:color w:val="000000" w:themeColor="text1"/>
          <w:sz w:val="44"/>
          <w:szCs w:val="44"/>
          <w:highlight w:val="none"/>
          <w14:textFill>
            <w14:solidFill>
              <w14:schemeClr w14:val="tx1"/>
            </w14:solidFill>
          </w14:textFill>
        </w:rPr>
        <w:t>第三章  合同条款及格式</w:t>
      </w:r>
      <w:bookmarkEnd w:id="23"/>
      <w:bookmarkEnd w:id="24"/>
      <w:bookmarkEnd w:id="25"/>
      <w:bookmarkEnd w:id="26"/>
      <w:bookmarkEnd w:id="27"/>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bookmarkEnd w:id="28"/>
    <w:p>
      <w:pPr>
        <w:pStyle w:val="11"/>
        <w:adjustRightInd w:val="0"/>
        <w:snapToGrid w:val="0"/>
        <w:spacing w:line="360" w:lineRule="auto"/>
        <w:ind w:firstLine="602"/>
        <w:rPr>
          <w:rFonts w:hint="eastAsia" w:ascii="宋体" w:hAnsi="宋体" w:eastAsia="宋体" w:cs="宋体"/>
          <w:b/>
          <w:bCs/>
          <w:color w:val="000000" w:themeColor="text1"/>
          <w:sz w:val="24"/>
          <w:szCs w:val="24"/>
          <w:highlight w:val="none"/>
          <w14:textFill>
            <w14:solidFill>
              <w14:schemeClr w14:val="tx1"/>
            </w14:solidFill>
          </w14:textFill>
        </w:rPr>
      </w:pPr>
      <w:bookmarkStart w:id="29" w:name="page50"/>
      <w:bookmarkEnd w:id="29"/>
    </w:p>
    <w:p>
      <w:pPr>
        <w:pStyle w:val="14"/>
        <w:spacing w:before="10"/>
        <w:rPr>
          <w:color w:val="000000" w:themeColor="text1"/>
          <w:sz w:val="18"/>
          <w:highlight w:val="none"/>
          <w:lang w:eastAsia="zh-CN"/>
          <w14:textFill>
            <w14:solidFill>
              <w14:schemeClr w14:val="tx1"/>
            </w14:solidFill>
          </w14:textFill>
        </w:rPr>
      </w:pPr>
    </w:p>
    <w:p>
      <w:pPr>
        <w:pageBreakBefore/>
        <w:spacing w:line="480" w:lineRule="auto"/>
        <w:jc w:val="center"/>
        <w:rPr>
          <w:rFonts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合同协议书</w:t>
      </w:r>
    </w:p>
    <w:p>
      <w:pPr>
        <w:spacing w:line="360" w:lineRule="auto"/>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委托方（甲方）</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法 定 代 表 人 ：</w:t>
      </w:r>
      <w:r>
        <w:rPr>
          <w:rFonts w:ascii="宋体" w:hAnsi="宋体"/>
          <w:color w:val="000000" w:themeColor="text1"/>
          <w:highlight w:val="none"/>
          <w:u w:val="single"/>
          <w14:textFill>
            <w14:solidFill>
              <w14:schemeClr w14:val="tx1"/>
            </w14:solidFill>
          </w14:textFill>
        </w:rPr>
        <w:tab/>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项 目 联 系 人 ：</w:t>
      </w:r>
      <w:r>
        <w:rPr>
          <w:rFonts w:ascii="宋体" w:hAnsi="宋体"/>
          <w:color w:val="000000" w:themeColor="text1"/>
          <w:highlight w:val="none"/>
          <w:u w:val="single"/>
          <w14:textFill>
            <w14:solidFill>
              <w14:schemeClr w14:val="tx1"/>
            </w14:solidFill>
          </w14:textFill>
        </w:rPr>
        <w:tab/>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  系  方  式 ：</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p>
    <w:p>
      <w:pPr>
        <w:spacing w:line="360" w:lineRule="auto"/>
        <w:ind w:left="2160" w:hanging="2160" w:hangingChars="9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通  讯  地  址 ：</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子  邮  箱 ：</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p>
    <w:p>
      <w:pPr>
        <w:spacing w:line="360" w:lineRule="auto"/>
        <w:rPr>
          <w:rFonts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受托方（乙方）</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法 定 代 表 人：</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项 目 联 系 人：</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联  系  方  式：</w:t>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通  讯  地  址：</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ab/>
      </w:r>
    </w:p>
    <w:p>
      <w:pPr>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子  邮  箱：</w:t>
      </w:r>
      <w:r>
        <w:rPr>
          <w:rFonts w:ascii="宋体" w:hAnsi="宋体"/>
          <w:color w:val="000000" w:themeColor="text1"/>
          <w:highlight w:val="none"/>
          <w:u w:val="single"/>
          <w14:textFill>
            <w14:solidFill>
              <w14:schemeClr w14:val="tx1"/>
            </w14:solidFill>
          </w14:textFill>
        </w:rPr>
        <w:tab/>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ascii="宋体" w:hAnsi="宋体"/>
          <w:color w:val="000000" w:themeColor="text1"/>
          <w:highlight w:val="none"/>
          <w14:textFill>
            <w14:solidFill>
              <w14:schemeClr w14:val="tx1"/>
            </w14:solidFill>
          </w14:textFill>
        </w:rPr>
      </w:pPr>
    </w:p>
    <w:p>
      <w:pPr>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本合同甲方委托乙方建设</w:t>
      </w:r>
      <w:r>
        <w:rPr>
          <w:rFonts w:hint="eastAsia" w:ascii="宋体" w:hAnsi="宋体"/>
          <w:color w:val="000000" w:themeColor="text1"/>
          <w:highlight w:val="none"/>
          <w:u w:val="single"/>
          <w14:textFill>
            <w14:solidFill>
              <w14:schemeClr w14:val="tx1"/>
            </w14:solidFill>
          </w14:textFill>
        </w:rPr>
        <w:t>服务区信息服务及现场管控运维系统</w:t>
      </w:r>
      <w:r>
        <w:rPr>
          <w:rFonts w:hint="eastAsia" w:ascii="宋体" w:hAnsi="宋体"/>
          <w:color w:val="000000" w:themeColor="text1"/>
          <w:highlight w:val="none"/>
          <w14:textFill>
            <w14:solidFill>
              <w14:schemeClr w14:val="tx1"/>
            </w14:solidFill>
          </w14:textFill>
        </w:rPr>
        <w:t>，并支付相应的报酬。双方经过平等协商，在真实、充分地表达各自意愿的基础上，根据《中华人民共和国合同法》的规定，达成如下合同，并由双方共同恪守。</w:t>
      </w:r>
    </w:p>
    <w:p>
      <w:pPr>
        <w:spacing w:line="360" w:lineRule="auto"/>
        <w:ind w:firstLine="480" w:firstLineChars="200"/>
        <w:rPr>
          <w:rFonts w:ascii="宋体" w:hAnsi="宋体"/>
          <w:color w:val="000000" w:themeColor="text1"/>
          <w:highlight w:val="none"/>
          <w14:textFill>
            <w14:solidFill>
              <w14:schemeClr w14:val="tx1"/>
            </w14:solidFill>
          </w14:textFill>
        </w:rPr>
      </w:pP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合同包括系统建设、技术</w:t>
      </w:r>
      <w:r>
        <w:rPr>
          <w:rFonts w:ascii="宋体" w:hAnsi="宋体"/>
          <w:color w:val="000000" w:themeColor="text1"/>
          <w:highlight w:val="none"/>
          <w14:textFill>
            <w14:solidFill>
              <w14:schemeClr w14:val="tx1"/>
            </w14:solidFill>
          </w14:textFill>
        </w:rPr>
        <w:t>服务</w:t>
      </w:r>
      <w:r>
        <w:rPr>
          <w:rFonts w:hint="eastAsia" w:ascii="宋体" w:hAnsi="宋体"/>
          <w:color w:val="000000" w:themeColor="text1"/>
          <w:highlight w:val="none"/>
          <w14:textFill>
            <w14:solidFill>
              <w14:schemeClr w14:val="tx1"/>
            </w14:solidFill>
          </w14:textFill>
        </w:rPr>
        <w:t>：</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1、技术服务：甲方同意向乙方购买，乙方同意为甲方建设</w:t>
      </w:r>
      <w:r>
        <w:rPr>
          <w:rFonts w:hint="eastAsia" w:ascii="宋体" w:hAnsi="宋体"/>
          <w:color w:val="000000" w:themeColor="text1"/>
          <w:highlight w:val="none"/>
          <w:u w:val="single"/>
          <w14:textFill>
            <w14:solidFill>
              <w14:schemeClr w14:val="tx1"/>
            </w14:solidFill>
          </w14:textFill>
        </w:rPr>
        <w:t>服务区信息服务及现场管控运维系统</w:t>
      </w:r>
      <w:r>
        <w:rPr>
          <w:rFonts w:hint="eastAsia" w:ascii="宋体" w:hAnsi="宋体"/>
          <w:color w:val="000000" w:themeColor="text1"/>
          <w:highlight w:val="none"/>
          <w14:textFill>
            <w14:solidFill>
              <w14:schemeClr w14:val="tx1"/>
            </w14:solidFill>
          </w14:textFill>
        </w:rPr>
        <w:t>并出售相关技术服务。详见费用明细-工程量清单。</w:t>
      </w:r>
    </w:p>
    <w:p>
      <w:pPr>
        <w:numPr>
          <w:ilvl w:val="0"/>
          <w:numId w:val="3"/>
        </w:numPr>
        <w:tabs>
          <w:tab w:val="left" w:pos="0"/>
        </w:tabs>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乙方应按下列要求完成合同：</w:t>
      </w:r>
    </w:p>
    <w:p>
      <w:pPr>
        <w:spacing w:line="360" w:lineRule="auto"/>
        <w:ind w:firstLine="484" w:firstLineChars="202"/>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于2020年12月31日前完成工程量清单中的内容。</w:t>
      </w:r>
    </w:p>
    <w:p>
      <w:pPr>
        <w:numPr>
          <w:ilvl w:val="0"/>
          <w:numId w:val="3"/>
        </w:numPr>
        <w:tabs>
          <w:tab w:val="left" w:pos="0"/>
          <w:tab w:val="clear" w:pos="1125"/>
        </w:tabs>
        <w:spacing w:line="360" w:lineRule="auto"/>
        <w:ind w:left="0" w:firstLine="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为保证乙方有效工作，甲方应当向乙方提供下列工作条件和协作事项：</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1、提供技术资料：</w:t>
      </w:r>
      <w:r>
        <w:rPr>
          <w:rFonts w:hint="eastAsia" w:ascii="宋体" w:hAnsi="宋体"/>
          <w:color w:val="000000" w:themeColor="text1"/>
          <w:highlight w:val="none"/>
          <w14:textFill>
            <w14:solidFill>
              <w14:schemeClr w14:val="tx1"/>
            </w14:solidFill>
          </w14:textFill>
        </w:rPr>
        <w:t>提供项目相关的技术资料</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2、提供工作条件：</w:t>
      </w:r>
      <w:r>
        <w:rPr>
          <w:rFonts w:hint="eastAsia" w:ascii="宋体" w:hAnsi="宋体"/>
          <w:color w:val="000000" w:themeColor="text1"/>
          <w:highlight w:val="none"/>
          <w14:textFill>
            <w14:solidFill>
              <w14:schemeClr w14:val="tx1"/>
            </w14:solidFill>
          </w14:textFill>
        </w:rPr>
        <w:t>提供必要的工作条件，如办公场地、网络、固定电话等</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3、其他：</w:t>
      </w:r>
      <w:r>
        <w:rPr>
          <w:rFonts w:hint="eastAsia" w:ascii="宋体" w:hAnsi="宋体"/>
          <w:color w:val="000000" w:themeColor="text1"/>
          <w:highlight w:val="none"/>
          <w14:textFill>
            <w14:solidFill>
              <w14:schemeClr w14:val="tx1"/>
            </w14:solidFill>
          </w14:textFill>
        </w:rPr>
        <w:t>提供必要的协助</w:t>
      </w:r>
    </w:p>
    <w:p>
      <w:pPr>
        <w:numPr>
          <w:ilvl w:val="0"/>
          <w:numId w:val="3"/>
        </w:numPr>
        <w:tabs>
          <w:tab w:val="left" w:pos="0"/>
          <w:tab w:val="clear" w:pos="1125"/>
        </w:tabs>
        <w:spacing w:line="360" w:lineRule="auto"/>
        <w:ind w:left="851" w:hanging="85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费用及支付方式</w:t>
      </w:r>
    </w:p>
    <w:p>
      <w:pPr>
        <w:spacing w:line="440" w:lineRule="exact"/>
        <w:ind w:firstLine="480" w:firstLineChars="200"/>
        <w:rPr>
          <w:rFonts w:hint="eastAsia" w:ascii="宋体" w:hAnsi="宋体" w:cs="宋体"/>
          <w:color w:val="000000" w:themeColor="text1"/>
          <w:szCs w:val="1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r>
        <w:rPr>
          <w:rFonts w:ascii="宋体" w:hAnsi="宋体" w:cs="宋体"/>
          <w:color w:val="000000" w:themeColor="text1"/>
          <w:highlight w:val="none"/>
          <w14:textFill>
            <w14:solidFill>
              <w14:schemeClr w14:val="tx1"/>
            </w14:solidFill>
          </w14:textFill>
        </w:rPr>
        <w:t>本合同总额定为人民币:</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元整(￥</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元</w:t>
      </w:r>
      <w:r>
        <w:rPr>
          <w:rFonts w:hint="eastAsia" w:ascii="宋体" w:hAnsi="宋体" w:cs="宋体"/>
          <w:color w:val="000000" w:themeColor="text1"/>
          <w:highlight w:val="none"/>
          <w14:textFill>
            <w14:solidFill>
              <w14:schemeClr w14:val="tx1"/>
            </w14:solidFill>
          </w14:textFill>
        </w:rPr>
        <w:t>，含</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%增值税额</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p>
    <w:p>
      <w:pPr>
        <w:pStyle w:val="14"/>
        <w:ind w:left="480" w:leftChars="200"/>
        <w:rPr>
          <w:rFonts w:hint="eastAsia" w:hAnsi="宋体"/>
          <w:color w:val="000000" w:themeColor="text1"/>
          <w:sz w:val="24"/>
          <w:szCs w:val="18"/>
          <w:highlight w:val="none"/>
          <w14:textFill>
            <w14:solidFill>
              <w14:schemeClr w14:val="tx1"/>
            </w14:solidFill>
          </w14:textFill>
        </w:rPr>
      </w:pPr>
      <w:r>
        <w:rPr>
          <w:rFonts w:hint="eastAsia" w:hAnsi="宋体"/>
          <w:color w:val="000000" w:themeColor="text1"/>
          <w:sz w:val="24"/>
          <w:szCs w:val="18"/>
          <w:highlight w:val="none"/>
          <w14:textFill>
            <w14:solidFill>
              <w14:schemeClr w14:val="tx1"/>
            </w14:solidFill>
          </w14:textFill>
        </w:rPr>
        <w:t>2、支付方式：</w:t>
      </w:r>
    </w:p>
    <w:p>
      <w:pPr>
        <w:pStyle w:val="14"/>
        <w:ind w:left="480" w:leftChars="200"/>
        <w:rPr>
          <w:rFonts w:hint="eastAsia" w:hAnsi="宋体"/>
          <w:color w:val="000000" w:themeColor="text1"/>
          <w:sz w:val="24"/>
          <w:szCs w:val="18"/>
          <w:highlight w:val="none"/>
          <w14:textFill>
            <w14:solidFill>
              <w14:schemeClr w14:val="tx1"/>
            </w14:solidFill>
          </w14:textFill>
        </w:rPr>
      </w:pPr>
      <w:r>
        <w:rPr>
          <w:rFonts w:hint="eastAsia" w:hAnsi="宋体"/>
          <w:color w:val="000000" w:themeColor="text1"/>
          <w:sz w:val="24"/>
          <w:szCs w:val="18"/>
          <w:highlight w:val="none"/>
          <w14:textFill>
            <w14:solidFill>
              <w14:schemeClr w14:val="tx1"/>
            </w14:solidFill>
          </w14:textFill>
        </w:rPr>
        <w:t>2.1合同签订后10个工作日内，甲方按照</w:t>
      </w:r>
      <w:r>
        <w:rPr>
          <w:rFonts w:hint="eastAsia" w:hAnsi="宋体"/>
          <w:color w:val="000000" w:themeColor="text1"/>
          <w:sz w:val="24"/>
          <w:highlight w:val="none"/>
          <w14:textFill>
            <w14:solidFill>
              <w14:schemeClr w14:val="tx1"/>
            </w14:solidFill>
          </w14:textFill>
        </w:rPr>
        <w:t>服务区信息服务及现场管控运维系统工程量清单交付</w:t>
      </w:r>
      <w:r>
        <w:rPr>
          <w:rFonts w:hint="eastAsia" w:hAnsi="宋体"/>
          <w:color w:val="000000" w:themeColor="text1"/>
          <w:sz w:val="24"/>
          <w:szCs w:val="18"/>
          <w:highlight w:val="none"/>
          <w14:textFill>
            <w14:solidFill>
              <w14:schemeClr w14:val="tx1"/>
            </w14:solidFill>
          </w14:textFill>
        </w:rPr>
        <w:t>价格的30%，即 ￥</w:t>
      </w:r>
      <w:r>
        <w:rPr>
          <w:rFonts w:hint="eastAsia" w:hAnsi="宋体"/>
          <w:color w:val="000000" w:themeColor="text1"/>
          <w:sz w:val="24"/>
          <w:szCs w:val="18"/>
          <w:highlight w:val="none"/>
          <w:u w:val="single"/>
          <w14:textFill>
            <w14:solidFill>
              <w14:schemeClr w14:val="tx1"/>
            </w14:solidFill>
          </w14:textFill>
        </w:rPr>
        <w:t xml:space="preserve">      </w:t>
      </w:r>
      <w:r>
        <w:rPr>
          <w:rFonts w:hint="eastAsia" w:hAnsi="宋体"/>
          <w:color w:val="000000" w:themeColor="text1"/>
          <w:sz w:val="24"/>
          <w:szCs w:val="18"/>
          <w:highlight w:val="none"/>
          <w14:textFill>
            <w14:solidFill>
              <w14:schemeClr w14:val="tx1"/>
            </w14:solidFill>
          </w14:textFill>
        </w:rPr>
        <w:t>元（大写：</w:t>
      </w:r>
      <w:r>
        <w:rPr>
          <w:rFonts w:hint="eastAsia" w:hAnsi="宋体"/>
          <w:color w:val="000000" w:themeColor="text1"/>
          <w:sz w:val="24"/>
          <w:szCs w:val="18"/>
          <w:highlight w:val="none"/>
          <w:u w:val="single"/>
          <w14:textFill>
            <w14:solidFill>
              <w14:schemeClr w14:val="tx1"/>
            </w14:solidFill>
          </w14:textFill>
        </w:rPr>
        <w:t xml:space="preserve">       </w:t>
      </w:r>
      <w:r>
        <w:rPr>
          <w:rFonts w:hint="eastAsia" w:hAnsi="宋体"/>
          <w:color w:val="000000" w:themeColor="text1"/>
          <w:sz w:val="24"/>
          <w:szCs w:val="18"/>
          <w:highlight w:val="none"/>
          <w14:textFill>
            <w14:solidFill>
              <w14:schemeClr w14:val="tx1"/>
            </w14:solidFill>
          </w14:textFill>
        </w:rPr>
        <w:t>）预付至乙方；</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2.2乙方完善系统的安装部署、实施调试，经甲方</w:t>
      </w:r>
      <w:r>
        <w:rPr>
          <w:rFonts w:hint="eastAsia" w:ascii="宋体" w:hAnsi="宋体" w:cs="宋体"/>
          <w:color w:val="000000" w:themeColor="text1"/>
          <w:highlight w:val="none"/>
          <w14:textFill>
            <w14:solidFill>
              <w14:schemeClr w14:val="tx1"/>
            </w14:solidFill>
          </w14:textFill>
        </w:rPr>
        <w:t>经验收合格后10个工作日内，甲方</w:t>
      </w:r>
      <w:r>
        <w:rPr>
          <w:rFonts w:hint="eastAsia" w:ascii="宋体" w:hAnsi="宋体"/>
          <w:color w:val="000000" w:themeColor="text1"/>
          <w:highlight w:val="none"/>
          <w14:textFill>
            <w14:solidFill>
              <w14:schemeClr w14:val="tx1"/>
            </w14:solidFill>
          </w14:textFill>
        </w:rPr>
        <w:t>按照服务区信息服务及现场管控运维系统工程量清单交付价格</w:t>
      </w:r>
      <w:r>
        <w:rPr>
          <w:rFonts w:hint="eastAsia" w:ascii="宋体" w:hAnsi="宋体" w:cs="宋体"/>
          <w:color w:val="000000" w:themeColor="text1"/>
          <w:highlight w:val="none"/>
          <w14:textFill>
            <w14:solidFill>
              <w14:schemeClr w14:val="tx1"/>
            </w14:solidFill>
          </w14:textFill>
        </w:rPr>
        <w:t>的65%，即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元（大写：</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）结算给乙方，</w:t>
      </w:r>
      <w:r>
        <w:rPr>
          <w:rFonts w:ascii="宋体" w:hAnsi="宋体"/>
          <w:color w:val="000000" w:themeColor="text1"/>
          <w:highlight w:val="none"/>
          <w14:textFill>
            <w14:solidFill>
              <w14:schemeClr w14:val="tx1"/>
            </w14:solidFill>
          </w14:textFill>
        </w:rPr>
        <w:t>余款的</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%留</w:t>
      </w:r>
      <w:r>
        <w:rPr>
          <w:rFonts w:ascii="宋体" w:hAnsi="宋体"/>
          <w:color w:val="000000" w:themeColor="text1"/>
          <w:highlight w:val="none"/>
          <w14:textFill>
            <w14:solidFill>
              <w14:schemeClr w14:val="tx1"/>
            </w14:solidFill>
          </w14:textFill>
        </w:rPr>
        <w:t>作质保</w:t>
      </w:r>
      <w:r>
        <w:rPr>
          <w:rFonts w:hint="eastAsia" w:ascii="宋体" w:hAnsi="宋体"/>
          <w:color w:val="000000" w:themeColor="text1"/>
          <w:highlight w:val="none"/>
          <w14:textFill>
            <w14:solidFill>
              <w14:schemeClr w14:val="tx1"/>
            </w14:solidFill>
          </w14:textFill>
        </w:rPr>
        <w:t>金</w:t>
      </w:r>
      <w:r>
        <w:rPr>
          <w:rFonts w:ascii="宋体" w:hAnsi="宋体"/>
          <w:color w:val="000000" w:themeColor="text1"/>
          <w:highlight w:val="none"/>
          <w14:textFill>
            <w14:solidFill>
              <w14:schemeClr w14:val="tx1"/>
            </w14:solidFill>
          </w14:textFill>
        </w:rPr>
        <w:t>，质保期限为1年，待质保期满后一次性支付完毕（不计利息）</w:t>
      </w:r>
      <w:r>
        <w:rPr>
          <w:rFonts w:hint="eastAsia" w:ascii="宋体" w:hAnsi="宋体"/>
          <w:color w:val="000000" w:themeColor="text1"/>
          <w:highlight w:val="none"/>
          <w14:textFill>
            <w14:solidFill>
              <w14:schemeClr w14:val="tx1"/>
            </w14:solidFill>
          </w14:textFill>
        </w:rPr>
        <w:t>。</w:t>
      </w:r>
    </w:p>
    <w:p>
      <w:pPr>
        <w:spacing w:line="440" w:lineRule="exact"/>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3、乙方银行账户信息如下：</w:t>
      </w:r>
    </w:p>
    <w:p>
      <w:pPr>
        <w:spacing w:line="440" w:lineRule="exact"/>
        <w:ind w:firstLine="48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开户行：</w:t>
      </w:r>
      <w:r>
        <w:rPr>
          <w:rFonts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u w:val="single"/>
          <w14:textFill>
            <w14:solidFill>
              <w14:schemeClr w14:val="tx1"/>
            </w14:solidFill>
          </w14:textFill>
        </w:rPr>
        <w:t xml:space="preserve">   </w:t>
      </w:r>
    </w:p>
    <w:p>
      <w:pPr>
        <w:spacing w:line="440" w:lineRule="exact"/>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户  名：</w:t>
      </w:r>
      <w:r>
        <w:rPr>
          <w:rFonts w:ascii="宋体" w:hAnsi="宋体"/>
          <w:color w:val="000000" w:themeColor="text1"/>
          <w:highlight w:val="none"/>
          <w:u w:val="single"/>
          <w14:textFill>
            <w14:solidFill>
              <w14:schemeClr w14:val="tx1"/>
            </w14:solidFill>
          </w14:textFill>
        </w:rPr>
        <w:t xml:space="preserve">                   </w:t>
      </w:r>
    </w:p>
    <w:p>
      <w:pPr>
        <w:spacing w:line="440" w:lineRule="exact"/>
        <w:ind w:firstLine="48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账  号：</w:t>
      </w:r>
      <w:r>
        <w:rPr>
          <w:rFonts w:ascii="宋体" w:hAnsi="宋体"/>
          <w:color w:val="000000" w:themeColor="text1"/>
          <w:highlight w:val="none"/>
          <w:u w:val="single"/>
          <w14:textFill>
            <w14:solidFill>
              <w14:schemeClr w14:val="tx1"/>
            </w14:solidFill>
          </w14:textFill>
        </w:rPr>
        <w:t xml:space="preserve">                   </w:t>
      </w:r>
    </w:p>
    <w:p>
      <w:pPr>
        <w:spacing w:line="440" w:lineRule="exact"/>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4、甲方增值税专用发票信息如下：</w:t>
      </w:r>
    </w:p>
    <w:p>
      <w:pPr>
        <w:adjustRightInd w:val="0"/>
        <w:snapToGrid w:val="0"/>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单位名称：</w:t>
      </w:r>
      <w:r>
        <w:rPr>
          <w:rFonts w:hint="eastAsia" w:ascii="宋体" w:hAnsi="宋体" w:cs="宋体"/>
          <w:color w:val="000000" w:themeColor="text1"/>
          <w:highlight w:val="none"/>
          <w14:textFill>
            <w14:solidFill>
              <w14:schemeClr w14:val="tx1"/>
            </w14:solidFill>
          </w14:textFill>
        </w:rPr>
        <w:t>安徽省驿达高速公路服务区经营管理有限公司</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纳税人识别号：</w:t>
      </w:r>
    </w:p>
    <w:p>
      <w:pPr>
        <w:spacing w:line="360" w:lineRule="auto"/>
        <w:ind w:firstLine="48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地址电话：</w:t>
      </w:r>
    </w:p>
    <w:p>
      <w:pPr>
        <w:spacing w:line="360" w:lineRule="auto"/>
        <w:ind w:firstLine="480" w:firstLineChars="200"/>
        <w:rPr>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开户银行及账号：</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知识产权保护与保密</w:t>
      </w:r>
    </w:p>
    <w:p>
      <w:pPr>
        <w:tabs>
          <w:tab w:val="left" w:pos="426"/>
        </w:tabs>
        <w:spacing w:line="360" w:lineRule="auto"/>
        <w:ind w:left="-8" w:leftChars="-67" w:hanging="153" w:hangingChars="64"/>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1、本合同项下所指的一切产品，包括：乙方自主知识产权的软件产品及乙方为甲方进行软件开发的技术成果等，均应符合在本合同约定使用范围内不会引起任何产权纠纷的要求。乙方保证软件产品不会侵犯任何第三方著作权、专利权或商标权，同时也不侵害第三方的商业秘密和其他合法利益。</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2、甲乙双方均应对基于本合同履行而获悉的任何一方或其他方的相关商业、技术资料履行合理保密义务。</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2.1甲方不得对乙方所授权使用的软件系统，进行复制、备份或将相关软件资料外泄，亦不能转让、转租或以其他营利给予任何第三方使用。     </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2.2甲方对本项目全部的软件和系统的技术文档以及与项目有关的技术和资料、信息（以下统称“保密信息”）等应恪守保密义务，未经乙方书面许可，不得以任何方式将保密信息的部分或全部披露给任何第三方。</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2.3甲方须遵守第三方产品的使用要求，合理维护第三方产品的知识产权权利。如果第三方产品有相关保密约定的，甲方应当遵守该保密约定。</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2.4本合同签署各方应对本合同的全部内容、合同履行情况和争议解决（如果存在的话）恪守保密义务。未经另外一方书面许可，不得以任何方式将其部分或全部披露给本合同签署各方之外的任何其他方。乙方对项目过程中涉及的文档、数据材料有保密义务。</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2.5本合同无论何等原因终止、撤销或无效，本条约定将在保密期限内继续保持其原有效力。</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2.6任何一方不得直接或间接地招募对方参与本合同项下服务的人员或向其提供工作，亦不得雇用该人员或与其签订合同，使其成为合伙人、雇员或独立缔约方，限制期为该些人员在进行此等服务期间及完成该服务后的24个月内。“人员”包括一方雇用的并在提供服务的过程中与其直接联系的作为合伙人、雇员及独立缔约方的任何个人。如一方违约，将以被招聘人最近24个月薪资为违约金支付对方。</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3、涉及专利权、著作权及版权等知识产权的，合同各方均应遵守相关法律法规及合同约定的对知识产权保护的相应义务。</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4、与项目成果有关的新开发的系统技术文档、系统有关的专有技术和</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或著作权，归甲方所有。</w:t>
      </w:r>
    </w:p>
    <w:p>
      <w:pPr>
        <w:numPr>
          <w:ilvl w:val="0"/>
          <w:numId w:val="3"/>
        </w:numPr>
        <w:tabs>
          <w:tab w:val="left" w:pos="0"/>
        </w:tabs>
        <w:spacing w:line="360" w:lineRule="auto"/>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本合同的变更必须由双方协商一致，并以书面形式确定。</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双方确定以下列标准和方式对乙方的工作成果进行验收：</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、乙方完成工作的形式：满足询比文件或者</w:t>
      </w:r>
      <w:r>
        <w:rPr>
          <w:rFonts w:ascii="宋体" w:hAnsi="宋体"/>
          <w:color w:val="000000" w:themeColor="text1"/>
          <w:highlight w:val="none"/>
          <w14:textFill>
            <w14:solidFill>
              <w14:schemeClr w14:val="tx1"/>
            </w14:solidFill>
          </w14:textFill>
        </w:rPr>
        <w:t>需求</w:t>
      </w:r>
      <w:r>
        <w:rPr>
          <w:rFonts w:hint="eastAsia" w:ascii="宋体" w:hAnsi="宋体"/>
          <w:color w:val="000000" w:themeColor="text1"/>
          <w:highlight w:val="none"/>
          <w14:textFill>
            <w14:solidFill>
              <w14:schemeClr w14:val="tx1"/>
            </w14:solidFill>
          </w14:textFill>
        </w:rPr>
        <w:t>确认</w:t>
      </w:r>
      <w:r>
        <w:rPr>
          <w:rFonts w:ascii="宋体" w:hAnsi="宋体"/>
          <w:color w:val="000000" w:themeColor="text1"/>
          <w:highlight w:val="none"/>
          <w14:textFill>
            <w14:solidFill>
              <w14:schemeClr w14:val="tx1"/>
            </w14:solidFill>
          </w14:textFill>
        </w:rPr>
        <w:t>书</w:t>
      </w:r>
      <w:r>
        <w:rPr>
          <w:rFonts w:hint="eastAsia" w:ascii="宋体" w:hAnsi="宋体"/>
          <w:color w:val="000000" w:themeColor="text1"/>
          <w:highlight w:val="none"/>
          <w14:textFill>
            <w14:solidFill>
              <w14:schemeClr w14:val="tx1"/>
            </w14:solidFill>
          </w14:textFill>
        </w:rPr>
        <w:t>的要求。</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、工作成果的验收标准：满足询比文件功能要求与技术要求。</w:t>
      </w:r>
    </w:p>
    <w:p>
      <w:pPr>
        <w:spacing w:line="360" w:lineRule="auto"/>
        <w:ind w:firstLine="484" w:firstLineChars="202"/>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、工作成果的验收方法：甲方组织验收，验收标准满足相关文件和技术标准的要求，满足</w:t>
      </w:r>
      <w:r>
        <w:rPr>
          <w:rFonts w:ascii="宋体" w:hAnsi="宋体"/>
          <w:color w:val="000000" w:themeColor="text1"/>
          <w:highlight w:val="none"/>
          <w14:textFill>
            <w14:solidFill>
              <w14:schemeClr w14:val="tx1"/>
            </w14:solidFill>
          </w14:textFill>
        </w:rPr>
        <w:t>兼容性、安全性</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压力测试要求，</w:t>
      </w:r>
      <w:r>
        <w:rPr>
          <w:rFonts w:hint="eastAsia" w:ascii="宋体" w:hAnsi="宋体"/>
          <w:b/>
          <w:color w:val="000000" w:themeColor="text1"/>
          <w:highlight w:val="none"/>
          <w14:textFill>
            <w14:solidFill>
              <w14:schemeClr w14:val="tx1"/>
            </w14:solidFill>
          </w14:textFill>
        </w:rPr>
        <w:t>乙方承担验收产生的各项费用</w:t>
      </w:r>
      <w:r>
        <w:rPr>
          <w:rFonts w:hint="eastAsia" w:ascii="宋体" w:hAnsi="宋体"/>
          <w:color w:val="000000" w:themeColor="text1"/>
          <w:highlight w:val="none"/>
          <w14:textFill>
            <w14:solidFill>
              <w14:schemeClr w14:val="tx1"/>
            </w14:solidFill>
          </w14:textFill>
        </w:rPr>
        <w:t>。</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、验收的时间和地点：由甲方确定。</w:t>
      </w:r>
      <w:r>
        <w:rPr>
          <w:rFonts w:ascii="宋体" w:hAnsi="宋体"/>
          <w:color w:val="000000" w:themeColor="text1"/>
          <w:highlight w:val="none"/>
          <w14:textFill>
            <w14:solidFill>
              <w14:schemeClr w14:val="tx1"/>
            </w14:solidFill>
          </w14:textFill>
        </w:rPr>
        <w:tab/>
      </w:r>
      <w:r>
        <w:rPr>
          <w:rFonts w:ascii="宋体" w:hAnsi="宋体"/>
          <w:color w:val="000000" w:themeColor="text1"/>
          <w:highlight w:val="none"/>
          <w14:textFill>
            <w14:solidFill>
              <w14:schemeClr w14:val="tx1"/>
            </w14:solidFill>
          </w14:textFill>
        </w:rPr>
        <w:tab/>
      </w:r>
    </w:p>
    <w:p>
      <w:pPr>
        <w:spacing w:line="360" w:lineRule="auto"/>
        <w:ind w:firstLine="484" w:firstLineChars="202"/>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、验收不合格处理：若验收不合格，乙方应当负责进行修正完善，直至满足甲方的验收标准要求为止；若再次验收仍不合格，甲方有权解除合同，并要求乙方退还已支付的费用，未支付的不再支付。</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知识产权归属</w:t>
      </w:r>
    </w:p>
    <w:p>
      <w:pPr>
        <w:pStyle w:val="6"/>
        <w:numPr>
          <w:ilvl w:val="0"/>
          <w:numId w:val="4"/>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在本合同有效期内，甲方利用乙方提交的工作成果所完成的新的技术成果，归甲方所有。</w:t>
      </w:r>
    </w:p>
    <w:p>
      <w:pPr>
        <w:pStyle w:val="6"/>
        <w:numPr>
          <w:ilvl w:val="0"/>
          <w:numId w:val="4"/>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在本合同有效期内，乙方利用甲方提交的技术资料和工作条件所完成的新的技术成果，归双方所有。</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违约责任</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1、甲方违反本合同第四条约定，</w:t>
      </w:r>
      <w:r>
        <w:rPr>
          <w:rFonts w:hint="eastAsia" w:ascii="宋体" w:hAnsi="宋体"/>
          <w:color w:val="000000" w:themeColor="text1"/>
          <w:highlight w:val="none"/>
          <w14:textFill>
            <w14:solidFill>
              <w14:schemeClr w14:val="tx1"/>
            </w14:solidFill>
          </w14:textFill>
        </w:rPr>
        <w:t>甲方未能按期足额支付本合同项下对应款项的，甲方除应支付该笔费用以外，还应每逾期一天向乙方支付合同中应付款项的万分之三的违约金，最高上限不超过合同中应付款项的</w:t>
      </w: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2、乙方违反本合同第一、二条约定，</w:t>
      </w:r>
      <w:r>
        <w:rPr>
          <w:rFonts w:hint="eastAsia" w:ascii="宋体" w:hAnsi="宋体"/>
          <w:color w:val="000000" w:themeColor="text1"/>
          <w:highlight w:val="none"/>
          <w14:textFill>
            <w14:solidFill>
              <w14:schemeClr w14:val="tx1"/>
            </w14:solidFill>
          </w14:textFill>
        </w:rPr>
        <w:t>因乙方原因未能按期向甲方交付软件产品或按期完成当期项目的，每逾期一天乙方向甲方支付</w:t>
      </w:r>
      <w:r>
        <w:rPr>
          <w:rFonts w:ascii="宋体" w:hAnsi="宋体"/>
          <w:color w:val="000000" w:themeColor="text1"/>
          <w:highlight w:val="none"/>
          <w:u w:val="single"/>
          <w14:textFill>
            <w14:solidFill>
              <w14:schemeClr w14:val="tx1"/>
            </w14:solidFill>
          </w14:textFill>
        </w:rPr>
        <w:t xml:space="preserve"> 3000 </w:t>
      </w:r>
      <w:r>
        <w:rPr>
          <w:rFonts w:hint="eastAsia" w:ascii="宋体" w:hAnsi="宋体"/>
          <w:color w:val="000000" w:themeColor="text1"/>
          <w:highlight w:val="none"/>
          <w14:textFill>
            <w14:solidFill>
              <w14:schemeClr w14:val="tx1"/>
            </w14:solidFill>
          </w14:textFill>
        </w:rPr>
        <w:t>元违约金，最高上限不超过合同中应付款项的</w:t>
      </w: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。逾期</w:t>
      </w:r>
      <w:r>
        <w:rPr>
          <w:rFonts w:ascii="宋体" w:hAnsi="宋体"/>
          <w:color w:val="000000" w:themeColor="text1"/>
          <w:highlight w:val="none"/>
          <w14:textFill>
            <w14:solidFill>
              <w14:schemeClr w14:val="tx1"/>
            </w14:solidFill>
          </w14:textFill>
        </w:rPr>
        <w:t>60</w:t>
      </w:r>
      <w:r>
        <w:rPr>
          <w:rFonts w:hint="eastAsia" w:ascii="宋体" w:hAnsi="宋体"/>
          <w:color w:val="000000" w:themeColor="text1"/>
          <w:highlight w:val="none"/>
          <w14:textFill>
            <w14:solidFill>
              <w14:schemeClr w14:val="tx1"/>
            </w14:solidFill>
          </w14:textFill>
        </w:rPr>
        <w:t>天的，甲方有权解除合同，并无须支付乙方任何合同费用，乙方退还甲方已支付的费用，并由乙方赔偿甲方全部经济损失。</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3、乙方未按质按量完成工作的，应当负责修正完善</w:t>
      </w:r>
      <w:r>
        <w:rPr>
          <w:rFonts w:hint="eastAsia" w:ascii="宋体" w:hAnsi="宋体"/>
          <w:color w:val="000000" w:themeColor="text1"/>
          <w:highlight w:val="none"/>
          <w14:textFill>
            <w14:solidFill>
              <w14:schemeClr w14:val="tx1"/>
            </w14:solidFill>
          </w14:textFill>
        </w:rPr>
        <w:t>；如果两年内未通过验收，终止合同，未付款项不予支付，乙方退还甲方已支付的费用，</w:t>
      </w:r>
      <w:r>
        <w:rPr>
          <w:rFonts w:ascii="宋体" w:hAnsi="宋体"/>
          <w:color w:val="000000" w:themeColor="text1"/>
          <w:highlight w:val="none"/>
          <w14:textFill>
            <w14:solidFill>
              <w14:schemeClr w14:val="tx1"/>
            </w14:solidFill>
          </w14:textFill>
        </w:rPr>
        <w:t>如果给甲方造成损失的，应赔偿损失；</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4、由于甲方未能按照计划进度落实相关配套工作，导致开发工作延后的，不属乙方责任。</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双方确定，在本合同有效期内，甲方指定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为甲方项目联系人，乙方指定</w:t>
      </w:r>
      <w:r>
        <w:rPr>
          <w:rFonts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为乙方项目联系人。项目联系人承担以下责任：</w:t>
      </w:r>
    </w:p>
    <w:p>
      <w:pPr>
        <w:spacing w:line="360" w:lineRule="auto"/>
        <w:ind w:firstLine="484" w:firstLineChars="202"/>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1、  互相通报与监督本协议履行情况                        </w:t>
      </w:r>
    </w:p>
    <w:p>
      <w:pPr>
        <w:spacing w:line="360" w:lineRule="auto"/>
        <w:ind w:firstLine="484" w:firstLineChars="202"/>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  协调双方分歧                                        </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一方变更项目联系人的，应当及时以书面形式通知另一方，未及时通知并影响本合同履行或造成损失的，应承担相应的责任。</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双方确定，除本合同另有约定外，如出现下列情形，致使本合同的履行成为不必要或不可能的，可以解除本合同：</w:t>
      </w:r>
    </w:p>
    <w:p>
      <w:pPr>
        <w:pStyle w:val="6"/>
        <w:numPr>
          <w:ilvl w:val="0"/>
          <w:numId w:val="5"/>
        </w:numPr>
        <w:ind w:left="0" w:firstLine="426" w:firstLineChars="0"/>
        <w:jc w:val="both"/>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发生不可抗力</w:t>
      </w:r>
      <w:r>
        <w:rPr>
          <w:rFonts w:hint="eastAsia" w:ascii="宋体" w:hAnsi="宋体"/>
          <w:color w:val="000000" w:themeColor="text1"/>
          <w:szCs w:val="24"/>
          <w:highlight w:val="none"/>
          <w14:textFill>
            <w14:solidFill>
              <w14:schemeClr w14:val="tx1"/>
            </w14:solidFill>
          </w14:textFill>
        </w:rPr>
        <w:t>。本合同所指不可抗力包括地震、火灾、水灾、战争或其他非双方所能克服、预见或避免的事件。</w:t>
      </w:r>
    </w:p>
    <w:p>
      <w:pPr>
        <w:pStyle w:val="6"/>
        <w:numPr>
          <w:ilvl w:val="0"/>
          <w:numId w:val="5"/>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因一方违约，导致本合同无法继续履行，守约方可以随时通知违约方终止本合同，由此给守约方造成的损失由违约方承担。在此情况下，合同的终止不影响守约方对依法依约已经享有的权利的行使。</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双方因履行本合同而发生的争议，应协商、调解解决。协商、调解不成的，确定按以下第</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种方式处理：</w:t>
      </w:r>
    </w:p>
    <w:p>
      <w:pPr>
        <w:tabs>
          <w:tab w:val="left" w:pos="0"/>
          <w:tab w:val="left" w:pos="1125"/>
        </w:tabs>
        <w:spacing w:line="360" w:lineRule="auto"/>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1、提交</w:t>
      </w:r>
      <w:r>
        <w:rPr>
          <w:rFonts w:hint="eastAsia" w:ascii="宋体" w:hAnsi="宋体"/>
          <w:color w:val="000000" w:themeColor="text1"/>
          <w:highlight w:val="none"/>
          <w:u w:val="single"/>
          <w14:textFill>
            <w14:solidFill>
              <w14:schemeClr w14:val="tx1"/>
            </w14:solidFill>
          </w14:textFill>
        </w:rPr>
        <w:t>合肥</w:t>
      </w:r>
      <w:r>
        <w:rPr>
          <w:rFonts w:hint="eastAsia" w:ascii="宋体" w:hAnsi="宋体"/>
          <w:color w:val="000000" w:themeColor="text1"/>
          <w:highlight w:val="none"/>
          <w14:textFill>
            <w14:solidFill>
              <w14:schemeClr w14:val="tx1"/>
            </w14:solidFill>
          </w14:textFill>
        </w:rPr>
        <w:t>仲裁委员会仲裁；</w:t>
      </w:r>
    </w:p>
    <w:p>
      <w:pPr>
        <w:tabs>
          <w:tab w:val="left" w:pos="0"/>
          <w:tab w:val="left" w:pos="1125"/>
        </w:tabs>
        <w:spacing w:line="360" w:lineRule="auto"/>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2、依法向</w:t>
      </w:r>
      <w:r>
        <w:rPr>
          <w:rFonts w:hint="eastAsia" w:ascii="宋体" w:hAnsi="宋体"/>
          <w:color w:val="000000" w:themeColor="text1"/>
          <w:highlight w:val="none"/>
          <w14:textFill>
            <w14:solidFill>
              <w14:schemeClr w14:val="tx1"/>
            </w14:solidFill>
          </w14:textFill>
        </w:rPr>
        <w:t>甲方所在地</w:t>
      </w:r>
      <w:r>
        <w:rPr>
          <w:rFonts w:ascii="宋体" w:hAnsi="宋体"/>
          <w:color w:val="000000" w:themeColor="text1"/>
          <w:highlight w:val="none"/>
          <w14:textFill>
            <w14:solidFill>
              <w14:schemeClr w14:val="tx1"/>
            </w14:solidFill>
          </w14:textFill>
        </w:rPr>
        <w:t>人民法院起诉。</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双方确定：本合同及相关附件中所涉及的有关名词和技术术语，其定义和解释如下：</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委托方：系指根据合同约定，接受产品和服务的、并具有法人资格的单位，简称</w:t>
      </w:r>
      <w:r>
        <w:rPr>
          <w:rFonts w:ascii="宋体" w:hAnsi="宋体"/>
          <w:color w:val="000000" w:themeColor="text1"/>
          <w:szCs w:val="24"/>
          <w:highlight w:val="none"/>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甲方”。</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受托方：系指根据合同约定，提供产品和服务的、具有法人资格的企事业单位，简称“乙方”。</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合同：系指甲乙双方签署的为完成一定任务，明确甲乙双方权利和义务的协议，包括所有的附件、附录和构成合同的其它文件。</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乙方自主知识产权产品：在本合同中简称软件产品，系指由乙方自主开发且拥有独立完整知识产权的产品。</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乙方自主知识产权产品的授权许可：系指经由乙方授权确认甲方享有的对乙方自主知识产权产品的使用权。</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第三方产品：包括但不限于非乙方的系统、软件、平台产品和设备等。</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服务：系指根据合同约定，乙方承担的有关项目实施、技术开发、运行保障和其他类似的义务。</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现场：系指合同项目将要进行施工和安装的地点。</w:t>
      </w:r>
    </w:p>
    <w:p>
      <w:pPr>
        <w:pStyle w:val="6"/>
        <w:numPr>
          <w:ilvl w:val="0"/>
          <w:numId w:val="6"/>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验收：系指分种类、分阶段进行的对乙方所交付合同项下的相关产品和服务的确认和认可。</w:t>
      </w:r>
    </w:p>
    <w:p>
      <w:pPr>
        <w:numPr>
          <w:ilvl w:val="0"/>
          <w:numId w:val="3"/>
        </w:numPr>
        <w:tabs>
          <w:tab w:val="left" w:pos="0"/>
        </w:tabs>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与履行本合同有关的下列技术文件，经双方以书面方式确认后，为本合同的组成部分：</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本协议书、询价文件及各种合同附件（含评标期间和合同谈判过程中的澄清文件和补充资料）；</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项目经理委任书；</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履约担保复印</w:t>
      </w:r>
      <w:r>
        <w:rPr>
          <w:rFonts w:ascii="宋体" w:hAnsi="宋体"/>
          <w:color w:val="000000" w:themeColor="text1"/>
          <w:szCs w:val="24"/>
          <w:highlight w:val="none"/>
          <w14:textFill>
            <w14:solidFill>
              <w14:schemeClr w14:val="tx1"/>
            </w14:solidFill>
          </w14:textFill>
        </w:rPr>
        <w:t>件</w:t>
      </w:r>
      <w:r>
        <w:rPr>
          <w:rFonts w:hint="eastAsia" w:ascii="宋体" w:hAnsi="宋体"/>
          <w:color w:val="000000" w:themeColor="text1"/>
          <w:szCs w:val="24"/>
          <w:highlight w:val="none"/>
          <w14:textFill>
            <w14:solidFill>
              <w14:schemeClr w14:val="tx1"/>
            </w14:solidFill>
          </w14:textFill>
        </w:rPr>
        <w:t>；</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中标通知书；</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费用清单</w:t>
      </w:r>
      <w:r>
        <w:rPr>
          <w:rFonts w:ascii="宋体" w:hAnsi="宋体"/>
          <w:color w:val="000000" w:themeColor="text1"/>
          <w:szCs w:val="24"/>
          <w:highlight w:val="none"/>
          <w14:textFill>
            <w14:solidFill>
              <w14:schemeClr w14:val="tx1"/>
            </w14:solidFill>
          </w14:textFill>
        </w:rPr>
        <w:t>；</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投票函及附录；</w:t>
      </w:r>
    </w:p>
    <w:p>
      <w:pPr>
        <w:pStyle w:val="6"/>
        <w:numPr>
          <w:ilvl w:val="0"/>
          <w:numId w:val="7"/>
        </w:numPr>
        <w:ind w:left="0" w:firstLine="426" w:firstLineChars="0"/>
        <w:jc w:val="both"/>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承诺函；</w:t>
      </w:r>
    </w:p>
    <w:p>
      <w:pPr>
        <w:pStyle w:val="6"/>
        <w:numPr>
          <w:ilvl w:val="0"/>
          <w:numId w:val="7"/>
        </w:numPr>
        <w:ind w:left="0" w:firstLine="426" w:firstLineChars="0"/>
        <w:jc w:val="both"/>
        <w:rPr>
          <w:rFonts w:ascii="宋体" w:hAnsi="宋体"/>
          <w:color w:val="000000" w:themeColor="text1"/>
          <w:szCs w:val="24"/>
          <w:highlight w:val="none"/>
          <w:u w:val="single"/>
          <w14:textFill>
            <w14:solidFill>
              <w14:schemeClr w14:val="tx1"/>
            </w14:solidFill>
          </w14:textFill>
        </w:rPr>
      </w:pPr>
      <w:r>
        <w:rPr>
          <w:rFonts w:ascii="宋体" w:hAnsi="宋体"/>
          <w:color w:val="000000" w:themeColor="text1"/>
          <w:szCs w:val="24"/>
          <w:highlight w:val="none"/>
          <w14:textFill>
            <w14:solidFill>
              <w14:schemeClr w14:val="tx1"/>
            </w14:solidFill>
          </w14:textFill>
        </w:rPr>
        <w:t>其他合同文件。</w:t>
      </w:r>
    </w:p>
    <w:p>
      <w:pPr>
        <w:numPr>
          <w:ilvl w:val="0"/>
          <w:numId w:val="3"/>
        </w:numPr>
        <w:spacing w:line="360" w:lineRule="auto"/>
        <w:rPr>
          <w:rFonts w:ascii="宋体" w:hAnsi="宋体"/>
          <w:color w:val="000000" w:themeColor="text1"/>
          <w:highlight w:val="none"/>
          <w:u w:val="singl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其他相关事项</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1、乙方在系统实施部署调试工作时应妥善保管使用现场硬件设备，如有损毁按价赔偿。</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2、本合同不考虑物价变动对本项目费用的调整。</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3、按国家政策规定，乙方单位应缴纳的税款、个人所得税等其他费用，甲方不承担责任。</w:t>
      </w:r>
    </w:p>
    <w:p>
      <w:pPr>
        <w:spacing w:line="360" w:lineRule="auto"/>
        <w:ind w:firstLine="484" w:firstLineChars="202"/>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4、乙方在进行项目工作时，其工作时间必须满足现场工程施工的特点和需要，工作内容包含但不限于方案技术标准的要求，项目现场应有项目实施负责人员。</w:t>
      </w:r>
    </w:p>
    <w:p>
      <w:pPr>
        <w:spacing w:line="360" w:lineRule="auto"/>
        <w:ind w:firstLine="48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5、本合同有效期为合同签订之日起2年，合同有效期内乙方提供短信服务单价不得调增</w:t>
      </w:r>
    </w:p>
    <w:p>
      <w:pPr>
        <w:numPr>
          <w:ilvl w:val="0"/>
          <w:numId w:val="3"/>
        </w:num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本合同一式 </w:t>
      </w:r>
      <w:r>
        <w:rPr>
          <w:rFonts w:hint="eastAsia" w:ascii="宋体" w:hAnsi="宋体"/>
          <w:color w:val="000000" w:themeColor="text1"/>
          <w:highlight w:val="none"/>
          <w:u w:val="single"/>
          <w:lang w:val="en-US" w:eastAsia="zh-CN"/>
          <w14:textFill>
            <w14:solidFill>
              <w14:schemeClr w14:val="tx1"/>
            </w14:solidFill>
          </w14:textFill>
        </w:rPr>
        <w:t>肆</w:t>
      </w:r>
      <w:r>
        <w:rPr>
          <w:rFonts w:hint="eastAsia" w:ascii="宋体" w:hAnsi="宋体"/>
          <w:color w:val="000000" w:themeColor="text1"/>
          <w:highlight w:val="none"/>
          <w14:textFill>
            <w14:solidFill>
              <w14:schemeClr w14:val="tx1"/>
            </w14:solidFill>
          </w14:textFill>
        </w:rPr>
        <w:t>份，甲、乙双方各执</w:t>
      </w:r>
      <w:r>
        <w:rPr>
          <w:rFonts w:hint="eastAsia" w:ascii="宋体" w:hAnsi="宋体"/>
          <w:color w:val="000000" w:themeColor="text1"/>
          <w:highlight w:val="none"/>
          <w:u w:val="single"/>
          <w:lang w:val="en-US" w:eastAsia="zh-CN"/>
          <w14:textFill>
            <w14:solidFill>
              <w14:schemeClr w14:val="tx1"/>
            </w14:solidFill>
          </w14:textFill>
        </w:rPr>
        <w:t>贰</w:t>
      </w:r>
      <w:r>
        <w:rPr>
          <w:rFonts w:hint="eastAsia" w:ascii="宋体" w:hAnsi="宋体"/>
          <w:color w:val="000000" w:themeColor="text1"/>
          <w:highlight w:val="none"/>
          <w14:textFill>
            <w14:solidFill>
              <w14:schemeClr w14:val="tx1"/>
            </w14:solidFill>
          </w14:textFill>
        </w:rPr>
        <w:t>份，具有同等法律效力。</w:t>
      </w:r>
    </w:p>
    <w:p>
      <w:pPr>
        <w:numPr>
          <w:ilvl w:val="0"/>
          <w:numId w:val="3"/>
        </w:num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本合同经双方签字盖章后生效。</w:t>
      </w:r>
    </w:p>
    <w:p>
      <w:pPr>
        <w:rPr>
          <w:rFonts w:ascii="宋体" w:hAnsi="宋体"/>
          <w:color w:val="000000" w:themeColor="text1"/>
          <w:highlight w:val="none"/>
          <w14:textFill>
            <w14:solidFill>
              <w14:schemeClr w14:val="tx1"/>
            </w14:solidFill>
          </w14:textFill>
        </w:rPr>
      </w:pPr>
    </w:p>
    <w:p>
      <w:pPr>
        <w:pStyle w:val="14"/>
        <w:rPr>
          <w:rFonts w:hint="eastAsia" w:hAnsi="宋体"/>
          <w:color w:val="000000" w:themeColor="text1"/>
          <w:highlight w:val="none"/>
          <w14:textFill>
            <w14:solidFill>
              <w14:schemeClr w14:val="tx1"/>
            </w14:solidFill>
          </w14:textFill>
        </w:rPr>
      </w:pP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int="eastAsia" w:hAnsi="宋体" w:cs="仿宋_GB2312"/>
          <w:color w:val="000000" w:themeColor="text1"/>
          <w:highlight w:val="none"/>
          <w14:textFill>
            <w14:solidFill>
              <w14:schemeClr w14:val="tx1"/>
            </w14:solidFill>
          </w14:textFill>
        </w:rPr>
        <w:t>甲</w:t>
      </w:r>
      <w:r>
        <w:rPr>
          <w:rFonts w:hAnsi="宋体" w:cs="仿宋_GB2312"/>
          <w:color w:val="000000" w:themeColor="text1"/>
          <w:highlight w:val="non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方：</w:t>
      </w:r>
      <w:r>
        <w:rPr>
          <w:rFonts w:hint="eastAsia" w:hAnsi="宋体" w:cs="仿宋_GB2312"/>
          <w:color w:val="000000" w:themeColor="text1"/>
          <w:highlight w:val="none"/>
          <w:u w:val="single"/>
          <w:lang w:val="en-US" w:eastAsia="zh-CN"/>
          <w14:textFill>
            <w14:solidFill>
              <w14:schemeClr w14:val="tx1"/>
            </w14:solidFill>
          </w14:textFill>
        </w:rPr>
        <w:t xml:space="preserve">               </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（盖章）</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int="eastAsia" w:hAnsi="宋体" w:cs="仿宋_GB2312"/>
          <w:color w:val="000000" w:themeColor="text1"/>
          <w:highlight w:val="none"/>
          <w14:textFill>
            <w14:solidFill>
              <w14:schemeClr w14:val="tx1"/>
            </w14:solidFill>
          </w14:textFill>
        </w:rPr>
        <w:t>法定代表人：</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（签字）</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Ansi="宋体" w:cs="仿宋_GB2312"/>
          <w:color w:val="000000" w:themeColor="text1"/>
          <w:highlight w:val="none"/>
          <w14:textFill>
            <w14:solidFill>
              <w14:schemeClr w14:val="tx1"/>
            </w14:solidFill>
          </w14:textFill>
        </w:rPr>
        <w:t xml:space="preserve">   或</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int="eastAsia" w:hAnsi="宋体" w:cs="仿宋_GB2312"/>
          <w:color w:val="000000" w:themeColor="text1"/>
          <w:highlight w:val="none"/>
          <w14:textFill>
            <w14:solidFill>
              <w14:schemeClr w14:val="tx1"/>
            </w14:solidFill>
          </w14:textFill>
        </w:rPr>
        <w:t>其委托代理人：</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（签字）</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Ansi="宋体" w:cs="仿宋_GB2312"/>
          <w:color w:val="000000" w:themeColor="text1"/>
          <w:highlight w:val="none"/>
          <w14:textFill>
            <w14:solidFill>
              <w14:schemeClr w14:val="tx1"/>
            </w14:solidFill>
          </w14:textFill>
        </w:rPr>
        <w:t xml:space="preserve">                            </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年</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月</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日</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int="eastAsia" w:hAnsi="宋体" w:cs="仿宋_GB2312"/>
          <w:color w:val="000000" w:themeColor="text1"/>
          <w:highlight w:val="none"/>
          <w14:textFill>
            <w14:solidFill>
              <w14:schemeClr w14:val="tx1"/>
            </w14:solidFill>
          </w14:textFill>
        </w:rPr>
        <w:t>乙</w:t>
      </w:r>
      <w:r>
        <w:rPr>
          <w:rFonts w:hAnsi="宋体" w:cs="仿宋_GB2312"/>
          <w:color w:val="000000" w:themeColor="text1"/>
          <w:highlight w:val="non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方：</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（盖章）</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int="eastAsia" w:hAnsi="宋体" w:cs="仿宋_GB2312"/>
          <w:color w:val="000000" w:themeColor="text1"/>
          <w:highlight w:val="none"/>
          <w14:textFill>
            <w14:solidFill>
              <w14:schemeClr w14:val="tx1"/>
            </w14:solidFill>
          </w14:textFill>
        </w:rPr>
        <w:t>法定代表人：</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（签字）</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Ansi="宋体" w:cs="仿宋_GB2312"/>
          <w:color w:val="000000" w:themeColor="text1"/>
          <w:highlight w:val="none"/>
          <w14:textFill>
            <w14:solidFill>
              <w14:schemeClr w14:val="tx1"/>
            </w14:solidFill>
          </w14:textFill>
        </w:rPr>
        <w:t xml:space="preserve">   或</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int="eastAsia" w:hAnsi="宋体" w:cs="仿宋_GB2312"/>
          <w:color w:val="000000" w:themeColor="text1"/>
          <w:highlight w:val="none"/>
          <w14:textFill>
            <w14:solidFill>
              <w14:schemeClr w14:val="tx1"/>
            </w14:solidFill>
          </w14:textFill>
        </w:rPr>
        <w:t>其委托代理人：</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（签字）</w:t>
      </w: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p>
    <w:p>
      <w:pPr>
        <w:pStyle w:val="15"/>
        <w:spacing w:line="480" w:lineRule="exact"/>
        <w:ind w:left="14" w:leftChars="6" w:firstLine="401" w:firstLineChars="191"/>
        <w:rPr>
          <w:rFonts w:hAnsi="宋体" w:cs="仿宋_GB2312"/>
          <w:color w:val="000000" w:themeColor="text1"/>
          <w:highlight w:val="none"/>
          <w14:textFill>
            <w14:solidFill>
              <w14:schemeClr w14:val="tx1"/>
            </w14:solidFill>
          </w14:textFill>
        </w:rPr>
      </w:pPr>
      <w:r>
        <w:rPr>
          <w:rFonts w:hAnsi="宋体" w:cs="仿宋_GB2312"/>
          <w:color w:val="000000" w:themeColor="text1"/>
          <w:highlight w:val="none"/>
          <w14:textFill>
            <w14:solidFill>
              <w14:schemeClr w14:val="tx1"/>
            </w14:solidFill>
          </w14:textFill>
        </w:rPr>
        <w:t xml:space="preserve">                            </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年</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月</w:t>
      </w:r>
      <w:r>
        <w:rPr>
          <w:rFonts w:hAnsi="宋体" w:cs="仿宋_GB2312"/>
          <w:color w:val="000000" w:themeColor="text1"/>
          <w:highlight w:val="none"/>
          <w:u w:val="single"/>
          <w14:textFill>
            <w14:solidFill>
              <w14:schemeClr w14:val="tx1"/>
            </w14:solidFill>
          </w14:textFill>
        </w:rPr>
        <w:t xml:space="preserve">     </w:t>
      </w:r>
      <w:r>
        <w:rPr>
          <w:rFonts w:hint="eastAsia" w:hAnsi="宋体" w:cs="仿宋_GB2312"/>
          <w:color w:val="000000" w:themeColor="text1"/>
          <w:highlight w:val="none"/>
          <w14:textFill>
            <w14:solidFill>
              <w14:schemeClr w14:val="tx1"/>
            </w14:solidFill>
          </w14:textFill>
        </w:rPr>
        <w:t>日</w:t>
      </w:r>
    </w:p>
    <w:p>
      <w:pPr>
        <w:pStyle w:val="14"/>
        <w:rPr>
          <w:color w:val="000000" w:themeColor="text1"/>
          <w:highlight w:val="none"/>
          <w14:textFill>
            <w14:solidFill>
              <w14:schemeClr w14:val="tx1"/>
            </w14:solidFill>
          </w14:textFill>
        </w:rPr>
      </w:pPr>
    </w:p>
    <w:p>
      <w:pPr>
        <w:jc w:val="center"/>
        <w:outlineLvl w:val="0"/>
        <w:rPr>
          <w:rFonts w:hint="eastAsia" w:ascii="宋体" w:hAnsi="宋体"/>
          <w:b/>
          <w:bCs/>
          <w:color w:val="000000" w:themeColor="text1"/>
          <w:sz w:val="28"/>
          <w:szCs w:val="28"/>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30" w:name="_Toc30979"/>
      <w:r>
        <w:rPr>
          <w:rFonts w:hint="eastAsia" w:asciiTheme="minorEastAsia" w:hAnsiTheme="minorEastAsia" w:eastAsiaTheme="minorEastAsia" w:cstheme="minorEastAsia"/>
          <w:color w:val="000000" w:themeColor="text1"/>
          <w:sz w:val="44"/>
          <w:szCs w:val="44"/>
          <w:highlight w:val="none"/>
          <w:lang w:eastAsia="zh-CN"/>
          <w14:textFill>
            <w14:solidFill>
              <w14:schemeClr w14:val="tx1"/>
            </w14:solidFill>
          </w14:textFill>
        </w:rPr>
        <w:t>第四章</w:t>
      </w:r>
      <w:r>
        <w:rPr>
          <w:rFonts w:hint="eastAsia" w:asciiTheme="minorEastAsia" w:hAnsiTheme="minorEastAsia" w:eastAsiaTheme="minorEastAsia" w:cstheme="minorEastAsia"/>
          <w:color w:val="000000" w:themeColor="text1"/>
          <w:sz w:val="44"/>
          <w:szCs w:val="4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kern w:val="44"/>
          <w:sz w:val="44"/>
          <w:szCs w:val="4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44"/>
          <w:szCs w:val="44"/>
          <w:highlight w:val="none"/>
          <w:lang w:eastAsia="zh-CN"/>
          <w14:textFill>
            <w14:solidFill>
              <w14:schemeClr w14:val="tx1"/>
            </w14:solidFill>
          </w14:textFill>
        </w:rPr>
        <w:t>采购人要求</w:t>
      </w:r>
      <w:bookmarkEnd w:id="30"/>
      <w:bookmarkStart w:id="31" w:name="_bookmark163"/>
      <w:bookmarkEnd w:id="31"/>
      <w:bookmarkStart w:id="32" w:name="_Toc21401"/>
      <w:bookmarkStart w:id="33" w:name="_Toc19416"/>
      <w:bookmarkStart w:id="34" w:name="_Toc189369362"/>
      <w:bookmarkStart w:id="35" w:name="_Toc15683"/>
      <w:bookmarkStart w:id="36" w:name="_Toc27778"/>
      <w:bookmarkStart w:id="37" w:name="_Toc22022"/>
    </w:p>
    <w:bookmarkEnd w:id="32"/>
    <w:p>
      <w:pPr>
        <w:spacing w:line="360" w:lineRule="auto"/>
        <w:ind w:firstLine="562" w:firstLineChars="200"/>
        <w:outlineLvl w:val="1"/>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（一）软件系统功能板块：</w:t>
      </w:r>
    </w:p>
    <w:tbl>
      <w:tblPr>
        <w:tblStyle w:val="22"/>
        <w:tblW w:w="52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133"/>
        <w:gridCol w:w="3175"/>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blHeader/>
          <w:jc w:val="center"/>
        </w:trPr>
        <w:tc>
          <w:tcPr>
            <w:tcW w:w="378" w:type="pct"/>
            <w:tcBorders>
              <w:top w:val="single" w:color="auto" w:sz="4" w:space="0"/>
              <w:left w:val="single" w:color="auto" w:sz="4" w:space="0"/>
              <w:bottom w:val="single" w:color="auto" w:sz="4" w:space="0"/>
              <w:right w:val="single" w:color="auto" w:sz="4" w:space="0"/>
            </w:tcBorders>
            <w:shd w:val="clear" w:color="auto" w:fill="F2F2F2"/>
            <w:vAlign w:val="center"/>
          </w:tcPr>
          <w:p>
            <w:pPr>
              <w:widowControl/>
              <w:jc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序号</w:t>
            </w:r>
          </w:p>
        </w:tc>
        <w:tc>
          <w:tcPr>
            <w:tcW w:w="552" w:type="pct"/>
            <w:tcBorders>
              <w:top w:val="single" w:color="auto" w:sz="4" w:space="0"/>
              <w:left w:val="single" w:color="auto" w:sz="4" w:space="0"/>
              <w:bottom w:val="single" w:color="auto" w:sz="4" w:space="0"/>
              <w:right w:val="single" w:color="auto" w:sz="4" w:space="0"/>
            </w:tcBorders>
            <w:shd w:val="clear" w:color="auto" w:fill="F2F2F2"/>
            <w:vAlign w:val="center"/>
          </w:tcPr>
          <w:p>
            <w:pPr>
              <w:widowControl/>
              <w:jc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项目</w:t>
            </w:r>
          </w:p>
        </w:tc>
        <w:tc>
          <w:tcPr>
            <w:tcW w:w="1547" w:type="pct"/>
            <w:tcBorders>
              <w:top w:val="single" w:color="auto" w:sz="4" w:space="0"/>
              <w:left w:val="single" w:color="auto" w:sz="4" w:space="0"/>
              <w:bottom w:val="single" w:color="auto" w:sz="4" w:space="0"/>
              <w:right w:val="single" w:color="auto" w:sz="4" w:space="0"/>
            </w:tcBorders>
            <w:shd w:val="clear" w:color="auto" w:fill="F2F2F2"/>
            <w:vAlign w:val="center"/>
          </w:tcPr>
          <w:p>
            <w:pPr>
              <w:widowControl/>
              <w:jc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功能</w:t>
            </w:r>
          </w:p>
        </w:tc>
        <w:tc>
          <w:tcPr>
            <w:tcW w:w="2521" w:type="pct"/>
            <w:tcBorders>
              <w:top w:val="single" w:color="auto" w:sz="4" w:space="0"/>
              <w:left w:val="single" w:color="auto" w:sz="4" w:space="0"/>
              <w:bottom w:val="single" w:color="auto" w:sz="4" w:space="0"/>
              <w:right w:val="single" w:color="auto" w:sz="4" w:space="0"/>
            </w:tcBorders>
            <w:shd w:val="clear" w:color="auto" w:fill="F2F2F2"/>
            <w:vAlign w:val="center"/>
          </w:tcPr>
          <w:p>
            <w:pPr>
              <w:widowControl/>
              <w:jc w:val="center"/>
              <w:rPr>
                <w:rFonts w:ascii="宋体" w:hAnsi="宋体" w:cs="宋体"/>
                <w:b/>
                <w:color w:val="000000" w:themeColor="text1"/>
                <w:kern w:val="0"/>
                <w:highlight w:val="none"/>
                <w14:textFill>
                  <w14:solidFill>
                    <w14:schemeClr w14:val="tx1"/>
                  </w14:solidFill>
                </w14:textFill>
              </w:rPr>
            </w:pPr>
            <w:r>
              <w:rPr>
                <w:rFonts w:hint="eastAsia" w:ascii="宋体" w:hAnsi="宋体" w:cs="宋体"/>
                <w:b/>
                <w:color w:val="000000" w:themeColor="text1"/>
                <w:kern w:val="0"/>
                <w:highlight w:val="none"/>
                <w14:textFill>
                  <w14:solidFill>
                    <w14:schemeClr w14:val="tx1"/>
                  </w14:solidFill>
                </w14:textFill>
              </w:rPr>
              <w:t>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w:t>
            </w:r>
          </w:p>
        </w:tc>
        <w:tc>
          <w:tcPr>
            <w:tcW w:w="552" w:type="pct"/>
            <w:vMerge w:val="restart"/>
            <w:tcBorders>
              <w:left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丰</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乐</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服</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务</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区</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智</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慧</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运</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维</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管</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理</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系</w:t>
            </w:r>
          </w:p>
          <w:p>
            <w:pPr>
              <w:widowControl/>
              <w:spacing w:line="360" w:lineRule="auto"/>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统</w:t>
            </w: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智慧灯杆管理</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实时获取灯杆状态、照明情况，为运维管理人员提供灯杆信息，并及时对异常状态进行提示和预警。实时获取灯杆周边的大气压、温度、湿度、降水、风速风向等环境信息，为用户提供实时动态提示；提供远程集中控制功能，通过系统即可一键智能调光、调节智慧灯杆内置路灯控制器，按照设定的策略实现灯光的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2</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智慧厕所管理</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实时获取厕所现场的蹲位数量、占用情况、状态，为运维人员提供占用情况总览、不同时间段的占用情况分析，并提供蹲位是否可用的状态提示，方便及时维修。实时获取厕所的空气质量情况，提供质量情况预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停车场系统管理</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获取停车场车位总数、当前占用情况数据，为</w:t>
            </w:r>
            <w:r>
              <w:rPr>
                <w:rFonts w:hint="eastAsia"/>
                <w:color w:val="000000" w:themeColor="text1"/>
                <w:sz w:val="24"/>
                <w:szCs w:val="24"/>
                <w:highlight w:val="none"/>
                <w:lang w:val="en-US" w:eastAsia="zh-CN"/>
                <w14:textFill>
                  <w14:solidFill>
                    <w14:schemeClr w14:val="tx1"/>
                  </w14:solidFill>
                </w14:textFill>
              </w:rPr>
              <w:t>管理</w:t>
            </w:r>
            <w:r>
              <w:rPr>
                <w:rFonts w:hint="eastAsia"/>
                <w:color w:val="000000" w:themeColor="text1"/>
                <w:sz w:val="24"/>
                <w:szCs w:val="24"/>
                <w:highlight w:val="none"/>
                <w14:textFill>
                  <w14:solidFill>
                    <w14:schemeClr w14:val="tx1"/>
                  </w14:solidFill>
                </w14:textFill>
              </w:rPr>
              <w:t>人员</w:t>
            </w:r>
            <w:r>
              <w:rPr>
                <w:rFonts w:hint="eastAsia"/>
                <w:color w:val="000000" w:themeColor="text1"/>
                <w:sz w:val="24"/>
                <w:szCs w:val="24"/>
                <w:highlight w:val="none"/>
                <w:lang w:val="en-US" w:eastAsia="zh-CN"/>
                <w14:textFill>
                  <w14:solidFill>
                    <w14:schemeClr w14:val="tx1"/>
                  </w14:solidFill>
                </w14:textFill>
              </w:rPr>
              <w:t>提供</w:t>
            </w:r>
            <w:r>
              <w:rPr>
                <w:rFonts w:hint="eastAsia"/>
                <w:color w:val="000000" w:themeColor="text1"/>
                <w:sz w:val="24"/>
                <w:szCs w:val="24"/>
                <w:highlight w:val="none"/>
                <w14:textFill>
                  <w14:solidFill>
                    <w14:schemeClr w14:val="tx1"/>
                  </w14:solidFill>
                </w14:textFill>
              </w:rPr>
              <w:t>占用情况及占用率提示。并根据车辆的进出时间，从时间段、特殊节假日等维度提供车位占用情况和需求量分析。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4</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消防预警</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支持对消防系统进行远程实时检测，对于消防隐患进行实时报警</w:t>
            </w:r>
            <w:r>
              <w:rPr>
                <w:rFonts w:hint="eastAsia" w:ascii="宋体" w:hAnsi="宋体" w:cs="宋体"/>
                <w:color w:val="000000" w:themeColor="text1"/>
                <w:kern w:val="0"/>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实时获取消防设备种类、数量、是否正常运行等数据；实时获取视频监控数据，了解设备占用情况和消防通道异常情况，提供相关异常提醒功能。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5</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电力预警</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获取电力情况数据，对电压、设备老化等情况进行预警提示；从时间、设备类型等多个维度提供电力需求量和耗电情况分析功能。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6</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看板管理</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整合多系统前端数据，</w:t>
            </w:r>
            <w:r>
              <w:rPr>
                <w:rFonts w:hint="eastAsia"/>
                <w:color w:val="000000" w:themeColor="text1"/>
                <w:highlight w:val="none"/>
                <w14:textFill>
                  <w14:solidFill>
                    <w14:schemeClr w14:val="tx1"/>
                  </w14:solidFill>
                </w14:textFill>
              </w:rPr>
              <w:t>根据不同用户，</w:t>
            </w:r>
            <w:r>
              <w:rPr>
                <w:rFonts w:hint="eastAsia" w:ascii="宋体" w:hAnsi="宋体" w:cs="宋体"/>
                <w:color w:val="000000" w:themeColor="text1"/>
                <w:kern w:val="0"/>
                <w:highlight w:val="none"/>
                <w14:textFill>
                  <w14:solidFill>
                    <w14:schemeClr w14:val="tx1"/>
                  </w14:solidFill>
                </w14:textFill>
              </w:rPr>
              <w:t>进行图形化看板展示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7</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数据分析</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支持对服务区内各信息设备</w:t>
            </w:r>
            <w:r>
              <w:rPr>
                <w:rFonts w:hint="eastAsia" w:ascii="宋体" w:hAnsi="宋体" w:cs="宋体"/>
                <w:color w:val="000000" w:themeColor="text1"/>
                <w:kern w:val="0"/>
                <w:highlight w:val="none"/>
                <w:lang w:val="en-US" w:eastAsia="zh-CN"/>
                <w14:textFill>
                  <w14:solidFill>
                    <w14:schemeClr w14:val="tx1"/>
                  </w14:solidFill>
                </w14:textFill>
              </w:rPr>
              <w:t>运行</w:t>
            </w:r>
            <w:r>
              <w:rPr>
                <w:rFonts w:hint="eastAsia" w:ascii="宋体" w:hAnsi="宋体" w:cs="宋体"/>
                <w:color w:val="000000" w:themeColor="text1"/>
                <w:kern w:val="0"/>
                <w:highlight w:val="none"/>
                <w14:textFill>
                  <w14:solidFill>
                    <w14:schemeClr w14:val="tx1"/>
                  </w14:solidFill>
                </w14:textFill>
              </w:rPr>
              <w:t>情况进行分析，包含设备的</w:t>
            </w:r>
            <w:r>
              <w:rPr>
                <w:rFonts w:hint="eastAsia" w:ascii="宋体" w:hAnsi="宋体" w:cs="宋体"/>
                <w:color w:val="000000" w:themeColor="text1"/>
                <w:kern w:val="0"/>
                <w:highlight w:val="none"/>
                <w:lang w:val="en-US" w:eastAsia="zh-CN"/>
                <w14:textFill>
                  <w14:solidFill>
                    <w14:schemeClr w14:val="tx1"/>
                  </w14:solidFill>
                </w14:textFill>
              </w:rPr>
              <w:t>在线状况、</w:t>
            </w:r>
            <w:r>
              <w:rPr>
                <w:rFonts w:hint="eastAsia" w:ascii="宋体" w:hAnsi="宋体" w:cs="宋体"/>
                <w:color w:val="000000" w:themeColor="text1"/>
                <w:kern w:val="0"/>
                <w:highlight w:val="none"/>
                <w14:textFill>
                  <w14:solidFill>
                    <w14:schemeClr w14:val="tx1"/>
                  </w14:solidFill>
                </w14:textFill>
              </w:rPr>
              <w:t>老化情况、耗电情况、损坏情况、维护速度等进行分析。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8</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预警功能</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通过对联网设备进行7X2</w:t>
            </w:r>
            <w:r>
              <w:rPr>
                <w:rFonts w:ascii="宋体" w:hAnsi="宋体" w:cs="宋体"/>
                <w:color w:val="000000" w:themeColor="text1"/>
                <w:kern w:val="0"/>
                <w:highlight w:val="none"/>
                <w14:textFill>
                  <w14:solidFill>
                    <w14:schemeClr w14:val="tx1"/>
                  </w14:solidFill>
                </w14:textFill>
              </w:rPr>
              <w:t>4</w:t>
            </w:r>
            <w:r>
              <w:rPr>
                <w:rFonts w:hint="eastAsia" w:ascii="宋体" w:hAnsi="宋体" w:cs="宋体"/>
                <w:color w:val="000000" w:themeColor="text1"/>
                <w:kern w:val="0"/>
                <w:highlight w:val="none"/>
                <w14:textFill>
                  <w14:solidFill>
                    <w14:schemeClr w14:val="tx1"/>
                  </w14:solidFill>
                </w14:textFill>
              </w:rPr>
              <w:t>小时不间断监控，对发现的运行状态异常的设备进行报警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9</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用户管理</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提供组织结构、人员信息、用户信息维护功能；支持角色权限管理功能，针对不同角色分配不同权限，并支持根据设备的实际管理权限进行系统操作和数据显示权限配置；支持针对不同用户分配不同的角色权限。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w:t>
            </w:r>
            <w:r>
              <w:rPr>
                <w:rFonts w:ascii="宋体" w:hAnsi="宋体" w:cs="宋体"/>
                <w:color w:val="000000" w:themeColor="text1"/>
                <w:kern w:val="0"/>
                <w:highlight w:val="none"/>
                <w14:textFill>
                  <w14:solidFill>
                    <w14:schemeClr w14:val="tx1"/>
                  </w14:solidFill>
                </w14:textFill>
              </w:rPr>
              <w:t>0</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设备物联</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接入物联监控设备及信息管理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w:t>
            </w:r>
            <w:r>
              <w:rPr>
                <w:rFonts w:ascii="宋体" w:hAnsi="宋体" w:cs="宋体"/>
                <w:color w:val="000000" w:themeColor="text1"/>
                <w:kern w:val="0"/>
                <w:highlight w:val="none"/>
                <w14:textFill>
                  <w14:solidFill>
                    <w14:schemeClr w14:val="tx1"/>
                  </w14:solidFill>
                </w14:textFill>
              </w:rPr>
              <w:t>1</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故障统计</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支持历史故障记录统计，分析高频故障</w:t>
            </w:r>
          </w:p>
          <w:p>
            <w:pPr>
              <w:pStyle w:val="21"/>
              <w:spacing w:line="360" w:lineRule="auto"/>
              <w:ind w:firstLine="0"/>
              <w:rPr>
                <w:rFonts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供故障统计和分析功能。针对单个设备提供故障统计，并提供时间等维度的可视化展示功能；提供整体故障统计分析功能，可从设备类型、设备年限、时间等多个维度对故障情况进行分析，对高频故障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w:t>
            </w:r>
            <w:r>
              <w:rPr>
                <w:rFonts w:ascii="宋体" w:hAnsi="宋体" w:cs="宋体"/>
                <w:color w:val="000000" w:themeColor="text1"/>
                <w:kern w:val="0"/>
                <w:highlight w:val="none"/>
                <w14:textFill>
                  <w14:solidFill>
                    <w14:schemeClr w14:val="tx1"/>
                  </w14:solidFill>
                </w14:textFill>
              </w:rPr>
              <w:t>2</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知识库</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hint="eastAsia" w:ascii="宋体" w:hAnsi="宋体" w:cs="宋体"/>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提供知识库管理功能，包含文档、图纸、视频、音频等功能；提供根据时间、类型、相关设备等维度进行筛选查看功能；根据不同的管理和查看权限，对知识库的查看和共享权限进行管理；提供收藏和分享功能。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13</w:t>
            </w:r>
          </w:p>
        </w:tc>
        <w:tc>
          <w:tcPr>
            <w:tcW w:w="552" w:type="pct"/>
            <w:vMerge w:val="restart"/>
            <w:tcBorders>
              <w:left w:val="single" w:color="auto" w:sz="4" w:space="0"/>
              <w:right w:val="single" w:color="auto" w:sz="4" w:space="0"/>
            </w:tcBorders>
            <w:vAlign w:val="center"/>
          </w:tcPr>
          <w:p>
            <w:pPr>
              <w:widowControl/>
              <w:spacing w:line="360" w:lineRule="auto"/>
              <w:ind w:firstLine="264"/>
              <w:rPr>
                <w:rFonts w:ascii="宋体" w:hAnsi="宋体" w:cs="宋体"/>
                <w:color w:val="000000" w:themeColor="text1"/>
                <w:kern w:val="0"/>
                <w:highlight w:val="none"/>
                <w14:textFill>
                  <w14:solidFill>
                    <w14:schemeClr w14:val="tx1"/>
                  </w14:solidFill>
                </w14:textFill>
              </w:rPr>
            </w:pPr>
          </w:p>
          <w:p>
            <w:pPr>
              <w:widowControl/>
              <w:spacing w:line="360" w:lineRule="auto"/>
              <w:ind w:firstLine="264"/>
              <w:rPr>
                <w:rFonts w:ascii="宋体" w:hAnsi="宋体" w:cs="宋体"/>
                <w:color w:val="000000" w:themeColor="text1"/>
                <w:kern w:val="0"/>
                <w:highlight w:val="none"/>
                <w14:textFill>
                  <w14:solidFill>
                    <w14:schemeClr w14:val="tx1"/>
                  </w14:solidFill>
                </w14:textFill>
              </w:rPr>
            </w:pPr>
          </w:p>
          <w:p>
            <w:pPr>
              <w:widowControl/>
              <w:spacing w:line="360" w:lineRule="auto"/>
              <w:ind w:firstLine="264"/>
              <w:rPr>
                <w:rFonts w:ascii="宋体" w:hAnsi="宋体" w:cs="宋体"/>
                <w:color w:val="000000" w:themeColor="text1"/>
                <w:kern w:val="0"/>
                <w:highlight w:val="none"/>
                <w14:textFill>
                  <w14:solidFill>
                    <w14:schemeClr w14:val="tx1"/>
                  </w14:solidFill>
                </w14:textFill>
              </w:rPr>
            </w:pPr>
          </w:p>
          <w:p>
            <w:pPr>
              <w:widowControl/>
              <w:spacing w:line="360" w:lineRule="auto"/>
              <w:rPr>
                <w:rFonts w:ascii="宋体" w:hAnsi="宋体" w:cs="宋体"/>
                <w:color w:val="000000" w:themeColor="text1"/>
                <w:kern w:val="0"/>
                <w:highlight w:val="none"/>
                <w14:textFill>
                  <w14:solidFill>
                    <w14:schemeClr w14:val="tx1"/>
                  </w14:solidFill>
                </w14:textFill>
              </w:rPr>
            </w:pPr>
          </w:p>
          <w:p>
            <w:pPr>
              <w:widowControl/>
              <w:spacing w:line="360" w:lineRule="auto"/>
              <w:rPr>
                <w:rFonts w:ascii="宋体" w:hAnsi="宋体" w:cs="宋体"/>
                <w:color w:val="000000" w:themeColor="text1"/>
                <w:kern w:val="0"/>
                <w:highlight w:val="none"/>
                <w14:textFill>
                  <w14:solidFill>
                    <w14:schemeClr w14:val="tx1"/>
                  </w14:solidFill>
                </w14:textFill>
              </w:rPr>
            </w:pPr>
          </w:p>
          <w:p>
            <w:pPr>
              <w:pStyle w:val="21"/>
              <w:rPr>
                <w:rFonts w:ascii="宋体" w:hAnsi="宋体" w:cs="宋体"/>
                <w:color w:val="000000" w:themeColor="text1"/>
                <w:kern w:val="0"/>
                <w:highlight w:val="none"/>
                <w14:textFill>
                  <w14:solidFill>
                    <w14:schemeClr w14:val="tx1"/>
                  </w14:solidFill>
                </w14:textFill>
              </w:rPr>
            </w:pPr>
          </w:p>
          <w:p>
            <w:pPr>
              <w:pStyle w:val="21"/>
              <w:rPr>
                <w:rFonts w:ascii="宋体" w:hAnsi="宋体" w:cs="宋体"/>
                <w:color w:val="000000" w:themeColor="text1"/>
                <w:kern w:val="0"/>
                <w:highlight w:val="none"/>
                <w14:textFill>
                  <w14:solidFill>
                    <w14:schemeClr w14:val="tx1"/>
                  </w14:solidFill>
                </w14:textFill>
              </w:rPr>
            </w:pPr>
          </w:p>
          <w:p>
            <w:pPr>
              <w:pStyle w:val="21"/>
              <w:rPr>
                <w:rFonts w:ascii="宋体" w:hAnsi="宋体" w:cs="宋体"/>
                <w:color w:val="000000" w:themeColor="text1"/>
                <w:kern w:val="0"/>
                <w:highlight w:val="none"/>
                <w14:textFill>
                  <w14:solidFill>
                    <w14:schemeClr w14:val="tx1"/>
                  </w14:solidFill>
                </w14:textFill>
              </w:rPr>
            </w:pPr>
          </w:p>
          <w:p>
            <w:pPr>
              <w:pStyle w:val="21"/>
              <w:rPr>
                <w:rFonts w:ascii="宋体" w:hAnsi="宋体" w:cs="宋体"/>
                <w:color w:val="000000" w:themeColor="text1"/>
                <w:kern w:val="0"/>
                <w:highlight w:val="none"/>
                <w14:textFill>
                  <w14:solidFill>
                    <w14:schemeClr w14:val="tx1"/>
                  </w14:solidFill>
                </w14:textFill>
              </w:rPr>
            </w:pPr>
          </w:p>
          <w:p>
            <w:pPr>
              <w:pStyle w:val="21"/>
              <w:rPr>
                <w:rFonts w:ascii="宋体" w:hAnsi="宋体" w:cs="宋体"/>
                <w:color w:val="000000" w:themeColor="text1"/>
                <w:kern w:val="0"/>
                <w:highlight w:val="none"/>
                <w14:textFill>
                  <w14:solidFill>
                    <w14:schemeClr w14:val="tx1"/>
                  </w14:solidFill>
                </w14:textFill>
              </w:rPr>
            </w:pP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丰</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乐</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服</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务</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区</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信</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息</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服</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务</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系</w:t>
            </w:r>
          </w:p>
          <w:p>
            <w:pPr>
              <w:widowControl/>
              <w:spacing w:line="360" w:lineRule="auto"/>
              <w:ind w:firstLine="264"/>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统</w:t>
            </w: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服务前端</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以移动端作为信息系统服务前端窗口，承载后台与用户连接的桥梁，展示服务区承载能力及路网信息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14</w:t>
            </w:r>
          </w:p>
        </w:tc>
        <w:tc>
          <w:tcPr>
            <w:tcW w:w="552" w:type="pct"/>
            <w:vMerge w:val="continue"/>
            <w:tcBorders>
              <w:left w:val="single" w:color="auto" w:sz="4" w:space="0"/>
              <w:right w:val="single" w:color="auto" w:sz="4" w:space="0"/>
            </w:tcBorders>
            <w:vAlign w:val="center"/>
          </w:tcPr>
          <w:p>
            <w:pPr>
              <w:widowControl/>
              <w:spacing w:line="360" w:lineRule="auto"/>
              <w:ind w:firstLine="264"/>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路线导航</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与高德地图数据共享，推送路网通行数据</w:t>
            </w:r>
          </w:p>
          <w:p>
            <w:pPr>
              <w:pStyle w:val="21"/>
              <w:spacing w:line="360" w:lineRule="auto"/>
              <w:ind w:firstLine="0"/>
              <w:rPr>
                <w:rFonts w:hint="eastAsia" w:ascii="宋体" w:hAnsi="宋体" w:cs="宋体"/>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获取路网的实时通行数据，通过手机端推送给用户，为用户提供路线导航、拥堵情况、推荐线路、交通事故提醒等服务。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15</w:t>
            </w:r>
          </w:p>
        </w:tc>
        <w:tc>
          <w:tcPr>
            <w:tcW w:w="552" w:type="pct"/>
            <w:vMerge w:val="continue"/>
            <w:tcBorders>
              <w:left w:val="single" w:color="auto" w:sz="4" w:space="0"/>
              <w:right w:val="single" w:color="auto" w:sz="4" w:space="0"/>
            </w:tcBorders>
            <w:vAlign w:val="center"/>
          </w:tcPr>
          <w:p>
            <w:pPr>
              <w:widowControl/>
              <w:spacing w:line="360" w:lineRule="auto"/>
              <w:ind w:firstLine="264"/>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路网信息服务</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对接安徽高速公路路网数据，进行收集整理，处理分析</w:t>
            </w:r>
            <w:r>
              <w:rPr>
                <w:rFonts w:hint="eastAsia" w:ascii="宋体" w:hAnsi="宋体" w:cs="宋体"/>
                <w:color w:val="000000" w:themeColor="text1"/>
                <w:kern w:val="0"/>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提供安徽高速公路路网查询和查看服务，为用户提供路网信息总览、详细道路情况查看服务。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16</w:t>
            </w:r>
          </w:p>
        </w:tc>
        <w:tc>
          <w:tcPr>
            <w:tcW w:w="552" w:type="pct"/>
            <w:vMerge w:val="continue"/>
            <w:tcBorders>
              <w:left w:val="single" w:color="auto" w:sz="4" w:space="0"/>
              <w:right w:val="single" w:color="auto" w:sz="4" w:space="0"/>
            </w:tcBorders>
            <w:vAlign w:val="center"/>
          </w:tcPr>
          <w:p>
            <w:pPr>
              <w:widowControl/>
              <w:spacing w:line="360" w:lineRule="auto"/>
              <w:ind w:firstLine="264"/>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气象信息服务</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hint="eastAsia" w:ascii="宋体" w:hAnsi="宋体" w:cs="宋体"/>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提供天气情况服务功能，为用户提供实时的天气情况，对于异常天气进行预警，通过手机推送给用户。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17</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路网信息发布</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建设多维度的路网信息发布平台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18</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服务信息订阅推送</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通过手机端为司乘用户提供服务信息订阅功能，系统根据订阅和需求为司乘用户提供信息服务推送功能，以便平台能够将消息第一时间通知到用户；支持提供问题反馈功能，对用户反馈问题进行汇总，并分类反馈运维人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19</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满意度评价功能</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提供服务质量体验评价以及意见反馈功能，并将评价反馈分类汇总，对用户反馈的问题进行分类汇总，通过汇总统计和对比分析，划分轻重缓急。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378" w:type="pct"/>
            <w:tcBorders>
              <w:left w:val="single" w:color="auto" w:sz="4" w:space="0"/>
              <w:right w:val="single" w:color="auto" w:sz="4" w:space="0"/>
            </w:tcBorders>
            <w:vAlign w:val="center"/>
          </w:tcPr>
          <w:p>
            <w:pPr>
              <w:jc w:val="center"/>
              <w:rPr>
                <w:rFonts w:ascii="宋体" w:hAnsi="宋体" w:cs="宋体"/>
                <w:color w:val="000000" w:themeColor="text1"/>
                <w:kern w:val="0"/>
                <w:highlight w:val="none"/>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20</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积累用户</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000000" w:themeColor="text1"/>
                <w:kern w:val="0"/>
                <w:highlight w:val="none"/>
                <w:lang w:eastAsia="zh-CN"/>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建立流量中心，与司乘用户产生关联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378" w:type="pct"/>
            <w:tcBorders>
              <w:left w:val="single" w:color="auto" w:sz="4" w:space="0"/>
              <w:right w:val="single" w:color="auto" w:sz="4" w:space="0"/>
            </w:tcBorders>
            <w:vAlign w:val="center"/>
          </w:tcPr>
          <w:p>
            <w:pPr>
              <w:jc w:val="center"/>
              <w:rPr>
                <w:rFonts w:hint="eastAsia" w:ascii="宋体" w:hAnsi="宋体" w:eastAsia="宋体" w:cs="宋体"/>
                <w:color w:val="000000" w:themeColor="text1"/>
                <w:kern w:val="0"/>
                <w:highlight w:val="none"/>
                <w:lang w:eastAsia="zh-CN"/>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2</w:t>
            </w:r>
            <w:r>
              <w:rPr>
                <w:rFonts w:hint="eastAsia" w:ascii="宋体" w:hAnsi="宋体" w:cs="宋体"/>
                <w:color w:val="000000" w:themeColor="text1"/>
                <w:kern w:val="0"/>
                <w:highlight w:val="none"/>
                <w:lang w:val="en-US" w:eastAsia="zh-CN"/>
                <w14:textFill>
                  <w14:solidFill>
                    <w14:schemeClr w14:val="tx1"/>
                  </w14:solidFill>
                </w14:textFill>
              </w:rPr>
              <w:t>1</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关键字搜索</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在服务移动端中植入关键字搜索功能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378" w:type="pct"/>
            <w:tcBorders>
              <w:left w:val="single" w:color="auto" w:sz="4" w:space="0"/>
              <w:right w:val="single" w:color="auto" w:sz="4" w:space="0"/>
            </w:tcBorders>
            <w:vAlign w:val="center"/>
          </w:tcPr>
          <w:p>
            <w:pPr>
              <w:jc w:val="center"/>
              <w:rPr>
                <w:rFonts w:hint="eastAsia" w:ascii="宋体" w:hAnsi="宋体" w:eastAsia="宋体" w:cs="宋体"/>
                <w:color w:val="000000" w:themeColor="text1"/>
                <w:kern w:val="0"/>
                <w:highlight w:val="none"/>
                <w:lang w:eastAsia="zh-CN"/>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2</w:t>
            </w:r>
            <w:r>
              <w:rPr>
                <w:rFonts w:hint="eastAsia" w:ascii="宋体" w:hAnsi="宋体" w:cs="宋体"/>
                <w:color w:val="000000" w:themeColor="text1"/>
                <w:kern w:val="0"/>
                <w:highlight w:val="none"/>
                <w:lang w:val="en-US" w:eastAsia="zh-CN"/>
                <w14:textFill>
                  <w14:solidFill>
                    <w14:schemeClr w14:val="tx1"/>
                  </w14:solidFill>
                </w14:textFill>
              </w:rPr>
              <w:t>2</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地理位置管理</w:t>
            </w:r>
          </w:p>
        </w:tc>
        <w:tc>
          <w:tcPr>
            <w:tcW w:w="2521"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助于处在不同位置的司乘用户使用，完善线下使用场景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378" w:type="pct"/>
            <w:tcBorders>
              <w:left w:val="single" w:color="auto" w:sz="4" w:space="0"/>
              <w:right w:val="single" w:color="auto" w:sz="4" w:space="0"/>
            </w:tcBorders>
            <w:vAlign w:val="center"/>
          </w:tcPr>
          <w:p>
            <w:pPr>
              <w:jc w:val="center"/>
              <w:rPr>
                <w:rFonts w:hint="eastAsia" w:ascii="宋体" w:hAnsi="宋体" w:eastAsia="宋体" w:cs="宋体"/>
                <w:color w:val="000000" w:themeColor="text1"/>
                <w:kern w:val="0"/>
                <w:highlight w:val="none"/>
                <w:lang w:eastAsia="zh-CN"/>
                <w14:textFill>
                  <w14:solidFill>
                    <w14:schemeClr w14:val="tx1"/>
                  </w14:solidFill>
                </w14:textFill>
              </w:rPr>
            </w:pPr>
            <w:r>
              <w:rPr>
                <w:rFonts w:ascii="宋体" w:hAnsi="宋体" w:cs="宋体"/>
                <w:color w:val="000000" w:themeColor="text1"/>
                <w:kern w:val="0"/>
                <w:highlight w:val="none"/>
                <w14:textFill>
                  <w14:solidFill>
                    <w14:schemeClr w14:val="tx1"/>
                  </w14:solidFill>
                </w14:textFill>
              </w:rPr>
              <w:t>2</w:t>
            </w:r>
            <w:r>
              <w:rPr>
                <w:rFonts w:hint="eastAsia" w:ascii="宋体" w:hAnsi="宋体" w:cs="宋体"/>
                <w:color w:val="000000" w:themeColor="text1"/>
                <w:kern w:val="0"/>
                <w:highlight w:val="none"/>
                <w:lang w:val="en-US" w:eastAsia="zh-CN"/>
                <w14:textFill>
                  <w14:solidFill>
                    <w14:schemeClr w14:val="tx1"/>
                  </w14:solidFill>
                </w14:textFill>
              </w:rPr>
              <w:t>3</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多用户管理</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hint="eastAsia" w:ascii="宋体" w:hAnsi="宋体" w:cs="宋体"/>
                <w:color w:val="000000" w:themeColor="text1"/>
                <w:kern w:val="0"/>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提供组织结构、人员信息、用户信息维护功能；支持角色权限管理功能，针对不同角色分配不同权限，并支持根据设备的实际管理权限进行系统操作和数据显示权限配置；支持针对不同用户分配不同的角色权限。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378" w:type="pct"/>
            <w:tcBorders>
              <w:left w:val="single" w:color="auto" w:sz="4" w:space="0"/>
              <w:right w:val="single" w:color="auto" w:sz="4" w:space="0"/>
            </w:tcBorders>
            <w:vAlign w:val="center"/>
          </w:tcPr>
          <w:p>
            <w:pPr>
              <w:jc w:val="center"/>
              <w:rPr>
                <w:rFonts w:hint="default"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24</w:t>
            </w:r>
          </w:p>
        </w:tc>
        <w:tc>
          <w:tcPr>
            <w:tcW w:w="552" w:type="pct"/>
            <w:vMerge w:val="continue"/>
            <w:tcBorders>
              <w:left w:val="single" w:color="auto" w:sz="4" w:space="0"/>
              <w:right w:val="single" w:color="auto" w:sz="4" w:space="0"/>
            </w:tcBorders>
            <w:vAlign w:val="center"/>
          </w:tcPr>
          <w:p>
            <w:pPr>
              <w:widowControl/>
              <w:spacing w:line="360" w:lineRule="auto"/>
              <w:rPr>
                <w:rFonts w:ascii="宋体" w:hAnsi="宋体" w:cs="宋体"/>
                <w:color w:val="000000" w:themeColor="text1"/>
                <w:kern w:val="0"/>
                <w:highlight w:val="none"/>
                <w14:textFill>
                  <w14:solidFill>
                    <w14:schemeClr w14:val="tx1"/>
                  </w14:solidFill>
                </w14:textFill>
              </w:rPr>
            </w:pPr>
          </w:p>
        </w:tc>
        <w:tc>
          <w:tcPr>
            <w:tcW w:w="1547"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default"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视频管理</w:t>
            </w:r>
          </w:p>
        </w:tc>
        <w:tc>
          <w:tcPr>
            <w:tcW w:w="2521" w:type="pct"/>
            <w:tcBorders>
              <w:top w:val="single" w:color="auto" w:sz="4" w:space="0"/>
              <w:left w:val="single" w:color="auto" w:sz="4" w:space="0"/>
              <w:bottom w:val="single" w:color="auto" w:sz="4" w:space="0"/>
              <w:right w:val="single" w:color="auto" w:sz="4" w:space="0"/>
            </w:tcBorders>
            <w:vAlign w:val="center"/>
          </w:tcPr>
          <w:p>
            <w:pPr>
              <w:pStyle w:val="21"/>
              <w:spacing w:line="360" w:lineRule="auto"/>
              <w:ind w:firstLine="0"/>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对接AR全景监控系统，实时展示监控视频数据</w:t>
            </w:r>
          </w:p>
        </w:tc>
      </w:tr>
    </w:tbl>
    <w:p>
      <w:pPr>
        <w:spacing w:line="360" w:lineRule="auto"/>
        <w:outlineLvl w:val="1"/>
        <w:rPr>
          <w:rFonts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（二）软件系统功能需求：</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482" w:firstLineChars="200"/>
        <w:textAlignment w:val="auto"/>
        <w:outlineLvl w:val="2"/>
        <w:rPr>
          <w:rFonts w:hint="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丰乐服务区信息服务系统：</w:t>
      </w:r>
    </w:p>
    <w:p>
      <w:pPr>
        <w:widowControl/>
        <w:snapToGrid w:val="0"/>
        <w:spacing w:line="360" w:lineRule="auto"/>
        <w:ind w:firstLine="408" w:firstLineChars="170"/>
        <w:jc w:val="both"/>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丰乐服务区信息服务系统”，应结合多渠道移动前端等信息发布设备，将服务区承载能力、路网的交通路况、服务区周边的气象信息等实时推送给旅客，引导旅客进行服务区停留的选择，实现多服务区联动，切实提升服务区的综合信息服务水平。</w:t>
      </w:r>
    </w:p>
    <w:p>
      <w:pPr>
        <w:widowControl/>
        <w:snapToGrid w:val="0"/>
        <w:spacing w:line="360" w:lineRule="auto"/>
        <w:ind w:firstLine="408" w:firstLineChars="170"/>
        <w:jc w:val="both"/>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丰乐服务区信息服务系统主要是对</w:t>
      </w:r>
      <w:r>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t>服务区停</w:t>
      </w: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车位、厕位等剩余数量和等待时间进行估算，在旅客到达服务区之前，将实时诱导数据分析、处理后传送至移动前端设备上，提供给出行旅客，这样可以使得驾乘人员根据实际需要到服务区停留休息。</w:t>
      </w:r>
    </w:p>
    <w:p>
      <w:pPr>
        <w:widowControl/>
        <w:snapToGrid w:val="0"/>
        <w:spacing w:line="360" w:lineRule="auto"/>
        <w:ind w:firstLine="408" w:firstLineChars="170"/>
        <w:jc w:val="both"/>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交通路况提醒是通过</w:t>
      </w:r>
      <w:r>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t>安徽交控</w:t>
      </w: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集团数据资源中心获取交通路况信息，包含各类交通事件（拥堵、阻断、施工、事故等），推送至移动前端设备，实现对车辆的路径引导，最终实现交通车辆的准全天候出行。</w:t>
      </w:r>
    </w:p>
    <w:p>
      <w:pPr>
        <w:widowControl/>
        <w:snapToGrid w:val="0"/>
        <w:spacing w:line="360" w:lineRule="auto"/>
        <w:ind w:firstLine="408" w:firstLineChars="170"/>
        <w:jc w:val="both"/>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气象信息提醒是通过气象系统获取服务区附近地点天气状况，经过数据收集、汇聚，推送至移动前端设备，实现最佳服务区停留信息推送诱导，便于驾乘者安全驾驶，得到最好的驾乘体验。</w:t>
      </w:r>
    </w:p>
    <w:p>
      <w:pPr>
        <w:pStyle w:val="21"/>
        <w:spacing w:line="360" w:lineRule="auto"/>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对服务区内各服务模块数据进行统一管理，对实时数据进行分析，并通过第三方移动平台即时推送给用户。系统数据流图如下：</w:t>
      </w:r>
    </w:p>
    <w:p>
      <w:pPr>
        <w:jc w:val="center"/>
        <w:rPr>
          <w:rStyle w:val="25"/>
          <w:rFonts w:asciiTheme="minorEastAsia" w:hAnsiTheme="minorEastAsia" w:eastAsiaTheme="minorEastAsia" w:cstheme="minorEastAsia"/>
          <w:b w:val="0"/>
          <w:bCs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object>
          <v:shape id="_x0000_i1025" o:spt="75" type="#_x0000_t75" style="height:305.8pt;width:453.2pt;" o:ole="t" filled="f" o:preferrelative="t" stroked="f" coordsize="21600,21600">
            <v:path/>
            <v:fill on="f" focussize="0,0"/>
            <v:stroke on="f"/>
            <v:imagedata r:id="rId23" o:title=""/>
            <o:lock v:ext="edit" aspectratio="t"/>
            <w10:wrap type="none"/>
            <w10:anchorlock/>
          </v:shape>
          <o:OLEObject Type="Embed" ProgID="Visio.Drawing.15" ShapeID="_x0000_i1025" DrawAspect="Content" ObjectID="_1468075725" r:id="rId22">
            <o:LockedField>false</o:LockedField>
          </o:OLEObject>
        </w:object>
      </w:r>
    </w:p>
    <w:p>
      <w:pPr>
        <w:pStyle w:val="21"/>
        <w:ind w:left="567" w:firstLine="0"/>
        <w:rPr>
          <w:rStyle w:val="25"/>
          <w:rFonts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p>
    <w:p>
      <w:pPr>
        <w:pStyle w:val="21"/>
        <w:numPr>
          <w:ilvl w:val="0"/>
          <w:numId w:val="8"/>
        </w:numPr>
        <w:spacing w:line="360" w:lineRule="auto"/>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车位管理系统</w:t>
      </w:r>
    </w:p>
    <w:p>
      <w:pPr>
        <w:pStyle w:val="21"/>
        <w:spacing w:line="360" w:lineRule="auto"/>
        <w:ind w:left="987" w:firstLine="0"/>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在服务区入口及出口设置卡口，对进入及离开服务区得车辆进行自动统计及分析，实时统计剩余车位等信息</w:t>
      </w:r>
    </w:p>
    <w:p>
      <w:pPr>
        <w:pStyle w:val="21"/>
        <w:numPr>
          <w:ilvl w:val="0"/>
          <w:numId w:val="8"/>
        </w:numPr>
        <w:spacing w:line="360" w:lineRule="auto"/>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侧位管理系统</w:t>
      </w:r>
    </w:p>
    <w:p>
      <w:pPr>
        <w:pStyle w:val="21"/>
        <w:spacing w:line="360" w:lineRule="auto"/>
        <w:ind w:left="987" w:firstLine="0"/>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对服务区内部侧位进行实时管理，厕所相关空气质量、剩余厕位等信息进行实时管理</w:t>
      </w:r>
    </w:p>
    <w:p>
      <w:pPr>
        <w:pStyle w:val="21"/>
        <w:numPr>
          <w:ilvl w:val="0"/>
          <w:numId w:val="8"/>
        </w:numPr>
        <w:spacing w:line="360" w:lineRule="auto"/>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餐饮管理系统</w:t>
      </w:r>
    </w:p>
    <w:p>
      <w:pPr>
        <w:pStyle w:val="21"/>
        <w:spacing w:line="360" w:lineRule="auto"/>
        <w:ind w:left="987" w:firstLine="0"/>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对服务区内相关商家进行统一管理，相关商品价格进行统一推荐</w:t>
      </w:r>
    </w:p>
    <w:p>
      <w:pPr>
        <w:pStyle w:val="21"/>
        <w:numPr>
          <w:ilvl w:val="0"/>
          <w:numId w:val="8"/>
        </w:numPr>
        <w:spacing w:line="360" w:lineRule="auto"/>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路况管理系统</w:t>
      </w:r>
    </w:p>
    <w:p>
      <w:pPr>
        <w:pStyle w:val="21"/>
        <w:spacing w:line="360" w:lineRule="auto"/>
        <w:ind w:left="987" w:firstLine="0"/>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实时分析集团公司实时路况信息，发送到数据中心进行统一分析</w:t>
      </w:r>
    </w:p>
    <w:p>
      <w:pPr>
        <w:pStyle w:val="21"/>
        <w:numPr>
          <w:ilvl w:val="0"/>
          <w:numId w:val="8"/>
        </w:numPr>
        <w:spacing w:line="360" w:lineRule="auto"/>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数据分析平台</w:t>
      </w:r>
    </w:p>
    <w:p>
      <w:pPr>
        <w:pStyle w:val="21"/>
        <w:spacing w:line="360" w:lineRule="auto"/>
        <w:ind w:left="987" w:firstLine="0"/>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实时统计服务区内相关数据，对相关数据进行分析预警，并实时推送给相关用户</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482" w:firstLineChars="200"/>
        <w:textAlignment w:val="auto"/>
        <w:outlineLvl w:val="2"/>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丰乐服务区智慧运维管理系统：</w:t>
      </w:r>
    </w:p>
    <w:p>
      <w:pPr>
        <w:pStyle w:val="44"/>
        <w:spacing w:line="360" w:lineRule="auto"/>
        <w:ind w:firstLine="420"/>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t>丰乐服务区智慧运维管理系统，应当具备对可连网的机电设备进行监测状态信息功能，将丰乐服务区智能电力监控、智慧消防、智慧停车、智慧厕所、智慧路灯等设备统一管理、统一调度。</w:t>
      </w:r>
    </w:p>
    <w:p>
      <w:pPr>
        <w:pStyle w:val="44"/>
        <w:spacing w:line="360" w:lineRule="auto"/>
        <w:ind w:firstLine="420"/>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t>然后应以图形化的界面进行展现。通过数据分析对所有可管理信息化设备自动取数、自动比较，达到日常巡检自动化目的，对发现的故障问题发出预警，具备保留各设备历史数据及配置信息功能。</w:t>
      </w:r>
    </w:p>
    <w:p>
      <w:pPr>
        <w:pStyle w:val="44"/>
        <w:spacing w:line="360" w:lineRule="auto"/>
        <w:ind w:firstLine="420"/>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pPr>
      <w:r>
        <w:rPr>
          <w:rStyle w:val="25"/>
          <w:rFonts w:hint="eastAsia" w:asciiTheme="minorEastAsia" w:hAnsiTheme="minorEastAsia" w:eastAsiaTheme="minorEastAsia" w:cstheme="minorEastAsia"/>
          <w:b w:val="0"/>
          <w:bCs w:val="0"/>
          <w:color w:val="000000" w:themeColor="text1"/>
          <w:sz w:val="24"/>
          <w:szCs w:val="24"/>
          <w:highlight w:val="none"/>
          <w:lang w:val="en-US"/>
          <w14:textFill>
            <w14:solidFill>
              <w14:schemeClr w14:val="tx1"/>
            </w14:solidFill>
          </w14:textFill>
        </w:rPr>
        <w:t>系统应提供整个系统的健康状况概览，支持在首页全局性地查看各组件健康状况，当系统有异常告警时，支持通过点击发生异常的组件，快捷跳转到组件监控页面。</w:t>
      </w:r>
    </w:p>
    <w:p>
      <w:pPr>
        <w:widowControl/>
        <w:snapToGrid w:val="0"/>
        <w:spacing w:line="360" w:lineRule="auto"/>
        <w:ind w:firstLine="408" w:firstLineChars="170"/>
        <w:jc w:val="both"/>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整体数据流图如下：</w:t>
      </w:r>
    </w:p>
    <w:p>
      <w:pPr>
        <w:pStyle w:val="36"/>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object>
          <v:shape id="_x0000_i1026" o:spt="75" type="#_x0000_t75" style="height:257pt;width:438.75pt;" o:ole="t" filled="f" o:preferrelative="t" stroked="f" coordsize="21600,21600">
            <v:path/>
            <v:fill on="f" focussize="0,0"/>
            <v:stroke on="f" joinstyle="miter"/>
            <v:imagedata r:id="rId25" o:title=""/>
            <o:lock v:ext="edit" aspectratio="t"/>
            <w10:wrap type="none"/>
            <w10:anchorlock/>
          </v:shape>
          <o:OLEObject Type="Embed" ProgID="Visio.Drawing.15" ShapeID="_x0000_i1026" DrawAspect="Content" ObjectID="_1468075726" r:id="rId24">
            <o:LockedField>false</o:LockedField>
          </o:OLEObject>
        </w:object>
      </w:r>
    </w:p>
    <w:p>
      <w:pPr>
        <w:pStyle w:val="36"/>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pStyle w:val="36"/>
        <w:numPr>
          <w:ilvl w:val="0"/>
          <w:numId w:val="8"/>
        </w:num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智慧停车系统</w:t>
      </w:r>
    </w:p>
    <w:p>
      <w:pPr>
        <w:pStyle w:val="36"/>
        <w:spacing w:line="360" w:lineRule="auto"/>
        <w:ind w:left="8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对整个停车场情况进行监控和管理，包括出入口管理，内部管理，采集，存储数据和系统工作状态，以便管理员进行监控，维护，统计，查询和打印报表等工作</w:t>
      </w:r>
    </w:p>
    <w:p>
      <w:pPr>
        <w:pStyle w:val="36"/>
        <w:numPr>
          <w:ilvl w:val="0"/>
          <w:numId w:val="8"/>
        </w:num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智慧厕所系统</w:t>
      </w:r>
    </w:p>
    <w:p>
      <w:pPr>
        <w:pStyle w:val="36"/>
        <w:spacing w:line="360" w:lineRule="auto"/>
        <w:ind w:left="567"/>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智慧卫生间通过云端平台的远程管理，并支持手机端查看，当卫生间内各设备异常告警时，可通过手机端给服务区物业管理人员发送通知推送，告知查看</w:t>
      </w:r>
    </w:p>
    <w:p>
      <w:pPr>
        <w:pStyle w:val="36"/>
        <w:numPr>
          <w:ilvl w:val="0"/>
          <w:numId w:val="8"/>
        </w:num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智慧路灯系统</w:t>
      </w:r>
    </w:p>
    <w:p>
      <w:pPr>
        <w:pStyle w:val="36"/>
        <w:spacing w:line="360" w:lineRule="auto"/>
        <w:ind w:left="8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通过智慧灯杆顶部的环境监测传感器，可获取该地段的实时大气压、温度、湿度、降水、风速风向等相关信息，并滚动显示于广告屏</w:t>
      </w:r>
    </w:p>
    <w:p>
      <w:pPr>
        <w:pStyle w:val="36"/>
        <w:numPr>
          <w:ilvl w:val="0"/>
          <w:numId w:val="8"/>
        </w:numPr>
        <w:spacing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统一运维平台</w:t>
      </w:r>
    </w:p>
    <w:p>
      <w:pPr>
        <w:pStyle w:val="36"/>
        <w:spacing w:line="360" w:lineRule="auto"/>
        <w:ind w:left="84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对服务区相关设备及系统数据进行统一管理，通过智能分析系统对服务区各模块产生得风险进行即时预警并在大屏上实时展示相关数据。同时在风险发生时可通过推送平台推送给运维人员。</w:t>
      </w:r>
    </w:p>
    <w:p>
      <w:pPr>
        <w:spacing w:line="360" w:lineRule="auto"/>
        <w:ind w:firstLine="482" w:firstLineChars="200"/>
        <w:outlineLvl w:val="1"/>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8" w:name="_Toc13944"/>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）机房及网络配套设备技术要求：</w:t>
      </w:r>
      <w:bookmarkEnd w:id="38"/>
    </w:p>
    <w:tbl>
      <w:tblPr>
        <w:tblStyle w:val="22"/>
        <w:tblW w:w="5284" w:type="pct"/>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78"/>
        <w:gridCol w:w="1538"/>
        <w:gridCol w:w="6314"/>
        <w:gridCol w:w="694"/>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noWrap w:val="0"/>
            <w:vAlign w:val="center"/>
          </w:tcPr>
          <w:p>
            <w:pPr>
              <w:widowControl/>
              <w:jc w:val="both"/>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序号</w:t>
            </w:r>
          </w:p>
        </w:tc>
        <w:tc>
          <w:tcPr>
            <w:tcW w:w="279"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项目</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货物名称</w:t>
            </w:r>
          </w:p>
        </w:tc>
        <w:tc>
          <w:tcPr>
            <w:tcW w:w="3048"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技术要求</w:t>
            </w:r>
          </w:p>
        </w:tc>
        <w:tc>
          <w:tcPr>
            <w:tcW w:w="335"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单位</w:t>
            </w:r>
          </w:p>
        </w:tc>
        <w:tc>
          <w:tcPr>
            <w:tcW w:w="319"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p>
        </w:tc>
        <w:tc>
          <w:tcPr>
            <w:tcW w:w="279" w:type="pct"/>
            <w:vMerge w:val="restart"/>
            <w:noWrap w:val="0"/>
            <w:vAlign w:val="center"/>
          </w:tcPr>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机</w:t>
            </w: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房</w:t>
            </w: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及</w:t>
            </w: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网</w:t>
            </w: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络</w:t>
            </w: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设</w:t>
            </w: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widowControl/>
              <w:spacing w:line="360" w:lineRule="auto"/>
              <w:jc w:val="both"/>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备</w:t>
            </w: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48口接入交换机</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1、固化千兆电接口≥48个，独立千兆SFP光接口≥4个；</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2、★交换容量≥432Gbps，包转发率≥132Mpps；</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3、支持 IPv4/IPv6 双协议栈、IPv6 路由协议 RIPng、IPv6 over IPv4 隧道（手工隧道/6to4 隧道/ISATAP 隧道）。</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4、★支持 MAC 认证、802.1x 认证、Portal 认证，实现用户策略（VLAN、QoS、ACL）的动态下发；</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5、★支持完善的 DoS 类防攻击、用户类防攻击。其中，DoS 类防攻击主要针对交换机本身的攻击，包括 SYNFlood、Land、Smurf、ICMP Flood；用户类防攻击涉及 DHCP 服务器仿冒攻击、IP/MAC 欺骗、DHCP request flood、改变DHCP CHADDR 值等等；</w:t>
            </w:r>
            <w:r>
              <w:rPr>
                <w:rStyle w:val="39"/>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提供官网链接及截图</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6、支持 SVF 超级虚拟交换网，SVF 方案创新实现将原来“核心/汇聚+接入交换机+AP”的网络架构，虚拟化为一台设备进行管理，简化设备管理，实现接入交换机和无线 AP 的即插即用；业务配置模板化，在核心设备上配置后自动下发到接入设备，实现集中管控，简化业务配置，灵活调整。该系列交换机在 SVF 方案中支持作为 client 角色；</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7、★支持智能 iStack 堆叠，将多台支持堆叠特性的交换机组合在一起，从逻辑上虚拟为一台交换机；</w:t>
            </w:r>
            <w:r>
              <w:rPr>
                <w:rStyle w:val="39"/>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提供官网链接及截图</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br w:type="textWrapping"/>
            </w:r>
            <w:r>
              <w:rPr>
                <w:rStyle w:val="38"/>
                <w:rFonts w:hint="eastAsia" w:asciiTheme="minorEastAsia" w:hAnsiTheme="minorEastAsia" w:eastAsiaTheme="minorEastAsia" w:cstheme="minorEastAsia"/>
                <w:color w:val="000000" w:themeColor="text1"/>
                <w:sz w:val="24"/>
                <w:szCs w:val="24"/>
                <w:highlight w:val="none"/>
                <w:lang w:val="en-US" w:eastAsia="zh-CN" w:bidi="ar"/>
                <w14:textFill>
                  <w14:solidFill>
                    <w14:schemeClr w14:val="tx1"/>
                  </w14:solidFill>
                </w14:textFill>
              </w:rPr>
              <w:t>8</w:t>
            </w:r>
            <w:r>
              <w:rPr>
                <w:rStyle w:val="38"/>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、考虑设备兼容性、项目实施、交付及售后服务，采用与核心交换机同一品牌，</w:t>
            </w:r>
            <w:r>
              <w:rPr>
                <w:rStyle w:val="39"/>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提供工信部入网证书</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台</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24口接入交换机</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1、固化千兆电接口≥24个，独立千兆SFP光接口≥4个；</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2、★交换容量≥336Gbps，包转发率≥126Mpps；</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3、支持 IPv4/IPv6 双协议栈、IPv6 路由协议 RIPng、IPv6 over IPv4 隧道（手工隧</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道/6to4 隧道/ISATAP 隧道）。</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4、★支持 MAC 认证、802.1x 认证、Portal 认证，实现用户策略（VLAN、QoS、ACL）的动态下发；</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5、★支持完善的 DoS 类防攻击、用户类防攻击。其中，DoS 类防攻击主要针对交换机本身的攻击，包括 SYNFlood、Land、Smurf、ICMP Flood；用户类防攻击涉及 DHCP 服务器仿冒攻击、IP/MAC 欺骗、DHCP request flood、改变DHCP CHADDR 值等等；提供官网链接及截图</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6、支持 SVF 超级虚拟交换网，SVF 方案创新实现将原来“核心/汇聚+接入交换机+AP”的网络架构，虚拟化为一台设备进行管理，简化设备管理，实现接入交换机和无线 AP 的即插即用；业务配置模板化，在核心设备上配置后自动下发到接入设备，实现集中管控，简化业务配置，灵活调整。该系列交换机在 SVF 方案中支持作为 client 角色；</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7、★支持智能 iStack 堆叠，将多台支持堆叠特性的交换机组合在一起，从逻辑上虚拟为一台交换机；提供官网链接及截图</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、考虑设备兼容性、项目实施、交付及售后服务，采用与核心交换机同一品牌，提供工信部入网证书</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台</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外场接入交换机</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1、固化千兆光接口≥24个，独立千兆电接口≥8个，独立千兆SFP光接口≥4个；</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2、★交换容量≥432Gbps，包转发率≥138Mpps；</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3、支持 IPv4/IPv6 双协议栈、IPv6 路由协议 RIPng、IPv6 over IPv4 隧道（手工隧</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道/6to4 隧道/ISATAP 隧道）。</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4、★支持 MAC 认证、802.1x 认证、Portal 认证，实现用户策略（VLAN、QoS、ACL）的动态下发；</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5、★支持完善的 DoS 类防攻击、用户类防攻击。其中，DoS 类防攻击主要针对交换机本身的攻击，包括 SYNFlood、Land、Smurf、ICMP Flood；用户类防攻击涉及 DHCP 服务器仿冒攻击、IP/MAC 欺骗、DHCP request flood、改变DHCP CHADDR 值等等；提供官网链接及截图</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6、支持 SVF 超级虚拟交换网，SVF 方案创新实现将原来“核心/汇聚+接入交换机+AP”的网络架构，虚拟化为一台设备进行管理，简化设备管理，实现接入交换机和无线 AP 的即插即用；业务配置模板化，在核心设备上配置后自动下发到接入设备，实现集中管控，简化业务配置，灵活调整。该系列交换机在 SVF 方案中支持作为 client 角色；</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7、★支持智能 iStack 堆叠，将多台支持堆叠特性的交换机组合在一起，从逻辑上虚拟为一台交换机；提供官网链接及截图</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、考虑设备兼容性、项目实施、交付及售后服务，采用与核心交换机同一品牌，提供工信部入网证书</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台</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千兆光模块</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千兆单模SFP光模块，波长1310nm，最大传输距离10km，要求与交换机同一品牌。</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个</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室外工业级交换机（一光四电）</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1.低功耗无风扇设计，工业级产品，适用于不同应用环境；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2.工作温度：-30℃～+70℃，湿度 5%～95%（无凝露）；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3.防护等级 IP40 及以上；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4.功耗低，即插即用；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5.支持传统光纤点到点、链型及星型连接。</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个</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24口通用型光纤配线架（含耦合器）</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光纤配线架是一种模块化的光纤连接单元，可搭配FC/ST/LC/SC/等多种光纤互连接口的适配器面板，为用户提供多样化全方位的光纤管理方案。</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主要应用于主要用于电信级中心机房、数据中心或企业机房中外线光缆光纤与设备尾纤之间的的光纤熔接、保护、线路存储管理。</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标准：YD/T778-2011</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产品特点</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机架式19″设计，冷扎板材料，静电喷涂，全密封</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集光缆、尾纤接续、尾纤、跳线收容等功能为一体。</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光缆进出口位于箱体后面，并设有固定架</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抽屉式设计，带轨道，方便施工和维护；</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面板式设计，可搭配FC/ST/LC/SC/MPO等多种光纤互连接口的适配器面板，最大支持48芯；</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熔纤盘为层叠式，单件可熔24芯，可以方便增减，施工操作便利，对光纤及其元件提供机械保护和环境保护</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技术参数</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绝缘电阻：光缆终端和金属构件与光缆金属加强芯之间、光缆金属构件之间、光缆金属构件与地之间的绝缘电阻应大于 2×104MΩ</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抗电强度：光缆终端和金属构件与光缆金属加强芯之间、光缆金属构件之间、光缆金属构件与地之间在 15kV直流电压作用下，1min不飞狐。</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台</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24口六类非屏蔽配线架（含模块）</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符合标准:YD/T 926.3</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产品特性：</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采用模块式，自带丝印端口号，背部带有理线托架设计，便于端接时机柜后部线缆管理</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拆装方便，免工具端接</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托架自带接地连接，最大限度的提高接地能力，可有效的防护电磁干扰和射频干扰，并提供出色的外来串扰抑制能力</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支持CAT 6A类、CAT 6类和CAT 5e类非屏蔽模块搭配使用标准19″安装，适用范围广，维护、扩容简便快捷，提供1U、0.5U二种规格</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台</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8</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1.5米单模LC光纤尾纤</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插入损耗：IL≦0.2dB  回波损耗：RL≧50dB</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连接衰减：≦0.5dB（包括互换和重复）</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互换回波损耗：≧35dB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插拔耐久性寿命：&gt;1000次仍能满足衰减要求。</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光缆抗拉强度：≧200N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最小弯曲半径：静态：10倍缆径；动态：20倍缆径</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工作温度： -20℃~+70℃</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条</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9</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3米单模双芯LC-LC光纤跳线</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插入损耗：IL≦0.2dB  回波损耗：RL≧50dB</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连接衰减：≦0.5dB（包括互换和重复）</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互换回波损耗：≧35dB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插拔耐久性寿命：&gt;1000次仍能满足衰减要求。</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光缆抗拉强度：≧200N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最小弯曲半径：静态：10倍缆径；动态：20倍缆径</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工作温度： -20℃~+70℃</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条</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10</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3米六类非屏蔽网络跳线</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符合标准ISO/IEC 11801 TIA/EIA-568-B.2</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产品特性：</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多股内导体，内置十字骨架结构和RJ45水晶头制作，柔软，易弯曲</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自动剥线和专业气动端接设备制作，每道工序全检，具备更高的可靠性和一致性；水晶头采用高性能日本赛钢材料制作，具有高硬度、高钢性、高耐磨、耐反覆冲击性强。锁扣最少弯折1000次以上不会断；</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三叉水晶头压接簧片，确保与线材接触的最小接触电阻；</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水晶头压接簧片整体50u镀金，确保优异性能</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渐变型受力原理的加长护套，防滑抗拉，保证一定的弯曲半径</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所有使用原材料，符合ROHS,有害物质控制在国际最严格标准内</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提供符合T568A或T568B两种标准的产品 ，100%的严格通过TIA Patch Cord Cat.6测试</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电气性能：</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满足ISO/IEC 11801 TIA/EIA-568-C.2电气性能</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最大直流电阻：0.30ohm</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额定安全电压：300V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物理参数</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电缆直径 ：6.0±0.2mm</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各种颜色和长度可供用户选择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护套材料：聚氯乙烯(PVC) 或低烟无卤(LSZH )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导体材料：高纯度无氧铜(纯度99.99%),多股绞合线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插头与插座拔插次数≥1000次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－额定温度：-20 ℃ ~ +70 ℃</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条</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11</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网络机柜(600*600*2000mm)</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用于布线系统中网络布线间、楼层配线间、机房等设备间安装设备使用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符合标准：GB/T3047.2</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产品特性：</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整柜采用优质高强度冷轧钢板</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表面采用防静电喷涂处理；</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采用透气网孔门或玻璃门设计，外观高雅大方；</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顶部自带散热风扇，更加有效的辅助设备散热；</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内部19英寸安装设计，通用性强，结构科学，符合国际标准；</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高强度承重设计，进线位置可按需求封闭；</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正门、后门、侧门全拆式组合结构便于施工安装；</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物理参数</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材料：高强度冷轧钢</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高度可选:47U/42U/37U/32U/27U/22U/18U</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深度可选:600MM/800MM/1000MM</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门材质：金属网，玻璃</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额定温度：-20 ℃ ~ +70 ℃</w:t>
            </w:r>
          </w:p>
        </w:tc>
        <w:tc>
          <w:tcPr>
            <w:tcW w:w="666"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台</w:t>
            </w:r>
          </w:p>
        </w:tc>
        <w:tc>
          <w:tcPr>
            <w:tcW w:w="634" w:type="dxa"/>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数据库服务器及应用服务器</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1.2U机架服务器；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2.处理器：配置Cascade Lake CPU，主频:≥2.1GHz，≥8核；</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3.内存：配置2*16GB ECC DDR4内存,内存插槽数≥24个插槽；</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4.★硬盘：支持热插拔2.5英寸SAS/SATA/SSD硬盘，最多支持20个3.5寸或31个2.5寸硬盘（提供官网截图和链接证明），本次配置8盘位机箱，配置2块≥1200GB SAS 12Gb 10K硬盘；</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5.★独立RAID卡：RAID0,1,1E；</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6.网卡：本次配置2个GE网口，2个Intel万兆光口（满配光模块）；</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7.★SSD存储：支持同品牌PCIe SSD服务器存储卡；具有自主研发的服务器加速功能；</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8.电源：配置2个≥550W白金冗余热插拔电源，并提供配套的电源连接线；</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9. 风扇：配置4个热拔插对旋风扇，支持N+1冗余；</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10. ★I/O扩展:PCI-E I/O扩展能力支持≥10个（提供官网截图和链接证明）；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11. 其他：机架安装导轨；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12. ★工作温度：可以在5ºC - 45ºC 正常工作（提供官网截图和链接证明）；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13. ★具备带外故障检测功能，不依赖于OS，对硬件故障如CPU故障、I2C和 IPMB总线故障、内存故障、PCIe设备故障、硬盘故障进行检测和预告警。</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14. ★具备带外硬件故障错误数据收集，由带外管理模块进行故障分析，告警，日志导出；故障数据库支持自动定位故障源并提供解决方案。</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15. ★提供中国环境标志产品认证证书。</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售后服务：原厂商3年质保。</w:t>
            </w:r>
          </w:p>
        </w:tc>
        <w:tc>
          <w:tcPr>
            <w:tcW w:w="335" w:type="pct"/>
            <w:noWrap w:val="0"/>
            <w:vAlign w:val="center"/>
          </w:tcPr>
          <w:p>
            <w:pPr>
              <w:pStyle w:val="2"/>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台</w:t>
            </w:r>
          </w:p>
        </w:tc>
        <w:tc>
          <w:tcPr>
            <w:tcW w:w="634" w:type="dxa"/>
            <w:noWrap w:val="0"/>
            <w:vAlign w:val="center"/>
          </w:tcPr>
          <w:p>
            <w:pPr>
              <w:pStyle w:val="2"/>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74" w:type="pct"/>
            <w:noWrap w:val="0"/>
            <w:vAlign w:val="center"/>
          </w:tcPr>
          <w:p>
            <w:pPr>
              <w:pStyle w:val="2"/>
              <w:spacing w:after="0"/>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W w:w="279" w:type="pct"/>
            <w:vMerge w:val="continue"/>
            <w:noWrap w:val="0"/>
            <w:vAlign w:val="top"/>
          </w:tcPr>
          <w:p>
            <w:pPr>
              <w:pStyle w:val="2"/>
              <w:ind w:firstLine="42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43" w:type="pct"/>
            <w:noWrap w:val="0"/>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32路硬盘录像机</w:t>
            </w:r>
          </w:p>
        </w:tc>
        <w:tc>
          <w:tcPr>
            <w:tcW w:w="3048" w:type="pct"/>
            <w:noWrap w:val="0"/>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 支持人脸评分机制，支持设置人脸比对失败和陌生人报警提示语，支持报警布防和联动，支持推送报警信息至客户端（需提供公安部检测报告证明）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 支持客户端实时展示人脸比对结果，比对成功人员可查看人脸抓拍图、样本图、相似度、姓名、性别、联系方式、证件类型、证件号、生日、省市、年龄段、戴眼镜等信息；比对失败人员可查看实时抓拍的人脸图片、性别、年龄段、戴眼镜等信息，支持倒序显示24H统计的人脸检测记录</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 支持按姓名检索人脸抓拍图片，人脸检索结果支持导出电子表格（需提供公安部检测报告证明）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 报警可选择多个关联的人脸库，可针对每个库人脸库设置不同的相似度实现布防，相似度范围0-100</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 支持人脸管理：支持新建、删除、修改、查询、复制人脸库，可通过U盘位、web端、客户端软件或批量导入工具进行单张、批量导入导出人脸图片，支持16个人脸库，库容4000张人脸图片；人脸库查询结果支持列表、图表2种展示方式；支持人脸库整库加密导入导出（需提供公安部检测报告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6. 支持按通道、时间检索人脸抓拍图片，支持将检索结果中的人脸图片添加到人脸库</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7. 支持人脸签到，可导出指定时间段签到报表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8. 支持陌生人人脸比对报警并推送消息至手机APP，可通过手机APP查看陌生人抓拍图片并回放报警关联录像</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★9. 支持人脸以图搜图，可从外部、人脸库、人脸检索结果导入最多10张人脸样本照片并设置相似度（0-100），检索出符合相似度的人脸图片，可查看人脸背景图、回放关联录像并导出人脸图片；支持按通道、时间检索人脸抓拍图片，支持将检索结果中人脸图片添加到人脸库（需提供公安部检测报告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10. 支持报警输入触发一键撤防功能，撤防的报警类型可选（弹出报警画面、声音警告、上传中心、发送邮件、触发报警输出）</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11. 支持缩略图,拖动回放时间进度条，在回放控制条上显示当前拖动时间点的缩略图</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12. 支持多屏输出，可设置2组4屏显示输出，每组包含HDMI和VGA接口各一个，同一组内为同源输出，两组之间可以异源输出视频图像。支持36/32/25/16/9/8/6/4/1分屏预览（需提供公安部检测报告证明）</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13. 支持同时输出2路 H.264编码、15fps、4000×3000格式的视频图像</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14.  支持1/8、1/4、1/2、1、2、4、8、16、32、64、128、256等倍速回放录像，支持录像文件剪辑和回放截图功能</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15.须能接入驿达公司现有视频监控平台。</w:t>
            </w:r>
          </w:p>
        </w:tc>
        <w:tc>
          <w:tcPr>
            <w:tcW w:w="335" w:type="pct"/>
            <w:noWrap w:val="0"/>
            <w:vAlign w:val="center"/>
          </w:tcPr>
          <w:p>
            <w:pPr>
              <w:pStyle w:val="2"/>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台</w:t>
            </w:r>
          </w:p>
        </w:tc>
        <w:tc>
          <w:tcPr>
            <w:tcW w:w="634" w:type="dxa"/>
            <w:noWrap w:val="0"/>
            <w:vAlign w:val="center"/>
          </w:tcPr>
          <w:p>
            <w:pPr>
              <w:pStyle w:val="2"/>
              <w:ind w:left="0" w:leftChars="0" w:firstLine="0" w:firstLineChars="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jc w:val="center"/>
        <w:outlineLvl w:val="0"/>
        <w:rPr>
          <w:rFonts w:hint="eastAsia" w:asciiTheme="minorEastAsia" w:hAnsiTheme="minorEastAsia" w:eastAsiaTheme="minorEastAsia" w:cstheme="minorEastAsia"/>
          <w:bCs/>
          <w:color w:val="000000" w:themeColor="text1"/>
          <w:sz w:val="36"/>
          <w:szCs w:val="36"/>
          <w:highlight w:val="none"/>
          <w14:textFill>
            <w14:solidFill>
              <w14:schemeClr w14:val="tx1"/>
            </w14:solidFill>
          </w14:textFill>
        </w:rPr>
      </w:pPr>
      <w:bookmarkStart w:id="39" w:name="_Toc14564"/>
      <w:r>
        <w:rPr>
          <w:rFonts w:hint="eastAsia" w:asciiTheme="minorEastAsia" w:hAnsiTheme="minorEastAsia" w:eastAsiaTheme="minorEastAsia" w:cstheme="minorEastAsia"/>
          <w:bCs/>
          <w:color w:val="000000" w:themeColor="text1"/>
          <w:sz w:val="36"/>
          <w:szCs w:val="36"/>
          <w:highlight w:val="none"/>
          <w:lang w:val="en-US" w:eastAsia="zh-CN"/>
          <w14:textFill>
            <w14:solidFill>
              <w14:schemeClr w14:val="tx1"/>
            </w14:solidFill>
          </w14:textFill>
        </w:rPr>
        <w:t>第五章  响应</w:t>
      </w:r>
      <w:r>
        <w:rPr>
          <w:rFonts w:hint="eastAsia" w:asciiTheme="minorEastAsia" w:hAnsiTheme="minorEastAsia" w:eastAsiaTheme="minorEastAsia" w:cstheme="minorEastAsia"/>
          <w:bCs/>
          <w:color w:val="000000" w:themeColor="text1"/>
          <w:sz w:val="36"/>
          <w:szCs w:val="36"/>
          <w:highlight w:val="none"/>
          <w14:textFill>
            <w14:solidFill>
              <w14:schemeClr w14:val="tx1"/>
            </w14:solidFill>
          </w14:textFill>
        </w:rPr>
        <w:t>文件</w:t>
      </w:r>
      <w:bookmarkEnd w:id="39"/>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rPr>
          <w:rFonts w:hint="eastAsia" w:ascii="宋体" w:hAnsi="宋体" w:eastAsia="宋体" w:cs="宋体"/>
          <w:color w:val="000000" w:themeColor="text1"/>
          <w:sz w:val="24"/>
          <w:szCs w:val="24"/>
          <w:highlight w:val="none"/>
          <w14:textFill>
            <w14:solidFill>
              <w14:schemeClr w14:val="tx1"/>
            </w14:solidFill>
          </w14:textFill>
        </w:rPr>
      </w:pPr>
    </w:p>
    <w:p>
      <w:pPr>
        <w:pStyle w:val="21"/>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bookmarkEnd w:id="33"/>
    <w:bookmarkEnd w:id="34"/>
    <w:bookmarkEnd w:id="35"/>
    <w:bookmarkEnd w:id="36"/>
    <w:bookmarkEnd w:id="37"/>
    <w:p>
      <w:pPr>
        <w:pStyle w:val="40"/>
        <w:ind w:firstLine="0" w:firstLineChars="0"/>
        <w:jc w:val="center"/>
        <w:rPr>
          <w:rFonts w:hint="eastAsia"/>
          <w:b/>
          <w:bCs/>
          <w:color w:val="000000" w:themeColor="text1"/>
          <w:sz w:val="44"/>
          <w:szCs w:val="32"/>
          <w:highlight w:val="none"/>
          <w14:textFill>
            <w14:solidFill>
              <w14:schemeClr w14:val="tx1"/>
            </w14:solidFill>
          </w14:textFill>
        </w:rPr>
      </w:pPr>
      <w:r>
        <w:rPr>
          <w:rFonts w:hint="eastAsia"/>
          <w:b/>
          <w:bCs/>
          <w:color w:val="000000" w:themeColor="text1"/>
          <w:sz w:val="44"/>
          <w:szCs w:val="32"/>
          <w:highlight w:val="none"/>
          <w14:textFill>
            <w14:solidFill>
              <w14:schemeClr w14:val="tx1"/>
            </w14:solidFill>
          </w14:textFill>
        </w:rPr>
        <w:t>安徽省驿达高速公路服务区经营管理有限公司</w:t>
      </w:r>
    </w:p>
    <w:p>
      <w:pPr>
        <w:jc w:val="center"/>
        <w:rPr>
          <w:rFonts w:hint="eastAsia" w:ascii="方正小标宋简体" w:hAnsi="方正小标宋简体" w:eastAsia="方正小标宋简体" w:cs="方正小标宋简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服务区信息服务及现场管控运维系统项目</w:t>
      </w:r>
    </w:p>
    <w:p>
      <w:pPr>
        <w:pStyle w:val="40"/>
        <w:ind w:firstLine="0" w:firstLineChars="0"/>
        <w:jc w:val="center"/>
        <w:rPr>
          <w:b/>
          <w:bCs/>
          <w:color w:val="000000" w:themeColor="text1"/>
          <w:sz w:val="44"/>
          <w:szCs w:val="32"/>
          <w:highlight w:val="none"/>
          <w14:textFill>
            <w14:solidFill>
              <w14:schemeClr w14:val="tx1"/>
            </w14:solidFill>
          </w14:textFill>
        </w:rPr>
      </w:pPr>
    </w:p>
    <w:p>
      <w:pPr>
        <w:ind w:firstLine="880" w:firstLineChars="20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pStyle w:val="2"/>
        <w:ind w:firstLine="420"/>
        <w:rPr>
          <w:rFonts w:hint="eastAsia"/>
          <w:color w:val="000000" w:themeColor="text1"/>
          <w:highlight w:val="none"/>
          <w14:textFill>
            <w14:solidFill>
              <w14:schemeClr w14:val="tx1"/>
            </w14:solidFill>
          </w14:textFill>
        </w:rPr>
      </w:pPr>
    </w:p>
    <w:p>
      <w:pPr>
        <w:jc w:val="center"/>
        <w:outlineLvl w:val="9"/>
        <w:rPr>
          <w:rFonts w:hint="eastAsia" w:ascii="黑体" w:hAnsi="黑体" w:eastAsia="黑体" w:cs="黑体"/>
          <w:bCs/>
          <w:color w:val="000000" w:themeColor="text1"/>
          <w:sz w:val="72"/>
          <w:szCs w:val="72"/>
          <w:highlight w:val="none"/>
          <w14:textFill>
            <w14:solidFill>
              <w14:schemeClr w14:val="tx1"/>
            </w14:solidFill>
          </w14:textFill>
        </w:rPr>
      </w:pPr>
      <w:bookmarkStart w:id="40" w:name="_Toc3268"/>
      <w:r>
        <w:rPr>
          <w:rFonts w:hint="eastAsia" w:ascii="黑体" w:hAnsi="黑体" w:eastAsia="黑体" w:cs="黑体"/>
          <w:bCs/>
          <w:color w:val="000000" w:themeColor="text1"/>
          <w:sz w:val="72"/>
          <w:szCs w:val="72"/>
          <w:highlight w:val="none"/>
          <w:lang w:val="en-US" w:eastAsia="zh-CN"/>
          <w14:textFill>
            <w14:solidFill>
              <w14:schemeClr w14:val="tx1"/>
            </w14:solidFill>
          </w14:textFill>
        </w:rPr>
        <w:t>响  应</w:t>
      </w:r>
      <w:r>
        <w:rPr>
          <w:rFonts w:hint="eastAsia" w:ascii="黑体" w:hAnsi="黑体" w:eastAsia="黑体" w:cs="黑体"/>
          <w:bCs/>
          <w:color w:val="000000" w:themeColor="text1"/>
          <w:sz w:val="72"/>
          <w:szCs w:val="72"/>
          <w:highlight w:val="none"/>
          <w14:textFill>
            <w14:solidFill>
              <w14:schemeClr w14:val="tx1"/>
            </w14:solidFill>
          </w14:textFill>
        </w:rPr>
        <w:t xml:space="preserve">  文  件</w:t>
      </w:r>
      <w:bookmarkEnd w:id="40"/>
    </w:p>
    <w:p>
      <w:pPr>
        <w:jc w:val="center"/>
        <w:rPr>
          <w:rFonts w:hint="eastAsia" w:ascii="黑体" w:hAnsi="黑体" w:eastAsia="黑体" w:cs="黑体"/>
          <w:bCs/>
          <w:color w:val="000000" w:themeColor="text1"/>
          <w:sz w:val="44"/>
          <w:szCs w:val="44"/>
          <w:highlight w:val="none"/>
          <w14:textFill>
            <w14:solidFill>
              <w14:schemeClr w14:val="tx1"/>
            </w14:solidFill>
          </w14:textFill>
        </w:rPr>
      </w:pPr>
      <w:bookmarkStart w:id="41" w:name="_Toc8776"/>
      <w:bookmarkStart w:id="42" w:name="_Toc13967"/>
    </w:p>
    <w:p>
      <w:pPr>
        <w:pStyle w:val="2"/>
        <w:ind w:firstLine="420"/>
        <w:rPr>
          <w:rFonts w:hint="eastAsia"/>
          <w:color w:val="000000" w:themeColor="text1"/>
          <w:highlight w:val="none"/>
          <w14:textFill>
            <w14:solidFill>
              <w14:schemeClr w14:val="tx1"/>
            </w14:solidFill>
          </w14:textFill>
        </w:rPr>
      </w:pPr>
    </w:p>
    <w:p>
      <w:pPr>
        <w:pStyle w:val="2"/>
        <w:ind w:firstLine="420"/>
        <w:rPr>
          <w:rFonts w:hint="eastAsia"/>
          <w:b/>
          <w:bCs/>
          <w:color w:val="000000" w:themeColor="text1"/>
          <w:sz w:val="52"/>
          <w:szCs w:val="52"/>
          <w:highlight w:val="none"/>
          <w14:textFill>
            <w14:solidFill>
              <w14:schemeClr w14:val="tx1"/>
            </w14:solidFill>
          </w14:textFill>
        </w:rPr>
      </w:pPr>
    </w:p>
    <w:p>
      <w:pPr>
        <w:jc w:val="center"/>
        <w:outlineLvl w:val="2"/>
        <w:rPr>
          <w:rFonts w:hint="eastAsia" w:ascii="黑体" w:hAnsi="黑体" w:eastAsia="黑体" w:cs="黑体"/>
          <w:b/>
          <w:bCs/>
          <w:color w:val="000000" w:themeColor="text1"/>
          <w:sz w:val="52"/>
          <w:szCs w:val="52"/>
          <w:highlight w:val="none"/>
          <w14:textFill>
            <w14:solidFill>
              <w14:schemeClr w14:val="tx1"/>
            </w14:solidFill>
          </w14:textFill>
        </w:rPr>
      </w:pPr>
      <w:bookmarkStart w:id="43" w:name="_Toc16107"/>
      <w:r>
        <w:rPr>
          <w:rFonts w:hint="eastAsia" w:ascii="黑体" w:hAnsi="黑体" w:eastAsia="黑体" w:cs="黑体"/>
          <w:b/>
          <w:bCs/>
          <w:color w:val="000000" w:themeColor="text1"/>
          <w:sz w:val="52"/>
          <w:szCs w:val="52"/>
          <w:highlight w:val="none"/>
          <w14:textFill>
            <w14:solidFill>
              <w14:schemeClr w14:val="tx1"/>
            </w14:solidFill>
          </w14:textFill>
        </w:rPr>
        <w:t>第一个信封</w:t>
      </w:r>
      <w:bookmarkEnd w:id="43"/>
    </w:p>
    <w:p>
      <w:pPr>
        <w:jc w:val="center"/>
        <w:rPr>
          <w:rFonts w:hint="eastAsia" w:ascii="黑体" w:hAnsi="黑体" w:eastAsia="黑体" w:cs="黑体"/>
          <w:bCs/>
          <w:color w:val="000000" w:themeColor="text1"/>
          <w:sz w:val="52"/>
          <w:szCs w:val="72"/>
          <w:highlight w:val="none"/>
          <w14:textFill>
            <w14:solidFill>
              <w14:schemeClr w14:val="tx1"/>
            </w14:solidFill>
          </w14:textFill>
        </w:rPr>
      </w:pPr>
      <w:r>
        <w:rPr>
          <w:rFonts w:hint="eastAsia" w:ascii="黑体" w:hAnsi="黑体" w:eastAsia="黑体" w:cs="黑体"/>
          <w:bCs/>
          <w:color w:val="000000" w:themeColor="text1"/>
          <w:sz w:val="52"/>
          <w:szCs w:val="72"/>
          <w:highlight w:val="none"/>
          <w14:textFill>
            <w14:solidFill>
              <w14:schemeClr w14:val="tx1"/>
            </w14:solidFill>
          </w14:textFill>
        </w:rPr>
        <w:t>商务技术文件</w:t>
      </w:r>
      <w:bookmarkEnd w:id="41"/>
      <w:bookmarkEnd w:id="42"/>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p>
    <w:p>
      <w:pPr>
        <w:spacing w:line="360" w:lineRule="exact"/>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bookmarkStart w:id="44" w:name="_Toc15954"/>
      <w:r>
        <w:rPr>
          <w:rFonts w:hint="eastAsia" w:cs="宋体"/>
          <w:color w:val="000000" w:themeColor="text1"/>
          <w:sz w:val="24"/>
          <w:szCs w:val="24"/>
          <w:highlight w:val="none"/>
          <w14:textFill>
            <w14:solidFill>
              <w14:schemeClr w14:val="tx1"/>
            </w14:solidFill>
          </w14:textFill>
        </w:rPr>
        <w:t>响应人：</w:t>
      </w:r>
      <w:r>
        <w:rPr>
          <w:rFonts w:hint="eastAsia" w:cs="宋体"/>
          <w:color w:val="000000" w:themeColor="text1"/>
          <w:sz w:val="24"/>
          <w:szCs w:val="24"/>
          <w:highlight w:val="none"/>
          <w:u w:val="single"/>
          <w14:textFill>
            <w14:solidFill>
              <w14:schemeClr w14:val="tx1"/>
            </w14:solidFill>
          </w14:textFill>
        </w:rPr>
        <w:t xml:space="preserve">                           </w:t>
      </w:r>
      <w:r>
        <w:rPr>
          <w:rFonts w:hint="eastAsia" w:cs="宋体"/>
          <w:color w:val="000000" w:themeColor="text1"/>
          <w:sz w:val="24"/>
          <w:szCs w:val="24"/>
          <w:highlight w:val="none"/>
          <w14:textFill>
            <w14:solidFill>
              <w14:schemeClr w14:val="tx1"/>
            </w14:solidFill>
          </w14:textFill>
        </w:rPr>
        <w:t>（盖单位章</w:t>
      </w:r>
      <w:bookmarkEnd w:id="44"/>
      <w:r>
        <w:rPr>
          <w:rFonts w:hint="eastAsia" w:cs="宋体"/>
          <w:color w:val="000000" w:themeColor="text1"/>
          <w:sz w:val="24"/>
          <w:szCs w:val="24"/>
          <w:highlight w:val="none"/>
          <w14:textFill>
            <w14:solidFill>
              <w14:schemeClr w14:val="tx1"/>
            </w14:solidFill>
          </w14:textFill>
        </w:rPr>
        <w:t>）</w:t>
      </w:r>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jc w:val="center"/>
        <w:rPr>
          <w:rFonts w:hint="eastAsia" w:cs="宋体"/>
          <w:color w:val="000000" w:themeColor="text1"/>
          <w:sz w:val="24"/>
          <w:szCs w:val="24"/>
          <w:highlight w:val="none"/>
          <w14:textFill>
            <w14:solidFill>
              <w14:schemeClr w14:val="tx1"/>
            </w14:solidFill>
          </w14:textFill>
        </w:rPr>
      </w:pPr>
      <w:bookmarkStart w:id="45" w:name="_Toc2461"/>
      <w:r>
        <w:rPr>
          <w:rFonts w:hint="eastAsia" w:cs="宋体"/>
          <w:color w:val="000000" w:themeColor="text1"/>
          <w:sz w:val="24"/>
          <w:szCs w:val="24"/>
          <w:highlight w:val="none"/>
          <w14:textFill>
            <w14:solidFill>
              <w14:schemeClr w14:val="tx1"/>
            </w14:solidFill>
          </w14:textFill>
        </w:rPr>
        <w:t>年        月         日</w:t>
      </w:r>
      <w:bookmarkEnd w:id="45"/>
      <w:bookmarkStart w:id="46" w:name="_Toc21093"/>
    </w:p>
    <w:p>
      <w:pPr>
        <w:jc w:val="center"/>
        <w:rPr>
          <w:rFonts w:hint="eastAsia"/>
          <w:color w:val="000000" w:themeColor="text1"/>
          <w:sz w:val="28"/>
          <w:szCs w:val="28"/>
          <w:highlight w:val="none"/>
          <w14:textFill>
            <w14:solidFill>
              <w14:schemeClr w14:val="tx1"/>
            </w14:solidFill>
          </w14:textFill>
        </w:rPr>
      </w:pPr>
      <w:r>
        <w:rPr>
          <w:rFonts w:hint="eastAsia" w:eastAsia="黑体"/>
          <w:b/>
          <w:color w:val="000000" w:themeColor="text1"/>
          <w:sz w:val="28"/>
          <w:szCs w:val="28"/>
          <w:highlight w:val="none"/>
          <w14:textFill>
            <w14:solidFill>
              <w14:schemeClr w14:val="tx1"/>
            </w14:solidFill>
          </w14:textFill>
        </w:rPr>
        <w:br w:type="page"/>
      </w:r>
      <w:bookmarkEnd w:id="46"/>
      <w:bookmarkStart w:id="47" w:name="_Toc866"/>
      <w:bookmarkStart w:id="48" w:name="_Toc3061"/>
      <w:bookmarkStart w:id="49" w:name="_Toc10881"/>
      <w:bookmarkStart w:id="50" w:name="_Toc15650"/>
      <w:bookmarkStart w:id="51" w:name="_Toc19271"/>
      <w:bookmarkStart w:id="52" w:name="_Toc7786"/>
      <w:bookmarkStart w:id="53" w:name="_Toc25578"/>
      <w:bookmarkStart w:id="54" w:name="_Toc20771"/>
      <w:bookmarkStart w:id="55" w:name="_Toc4745"/>
      <w:r>
        <w:rPr>
          <w:rFonts w:hint="eastAsia"/>
          <w:color w:val="000000" w:themeColor="text1"/>
          <w:sz w:val="28"/>
          <w:szCs w:val="28"/>
          <w:highlight w:val="none"/>
          <w14:textFill>
            <w14:solidFill>
              <w14:schemeClr w14:val="tx1"/>
            </w14:solidFill>
          </w14:textFill>
        </w:rPr>
        <w:t>目  录</w:t>
      </w:r>
      <w:bookmarkEnd w:id="47"/>
      <w:bookmarkEnd w:id="48"/>
      <w:bookmarkEnd w:id="49"/>
      <w:bookmarkEnd w:id="50"/>
      <w:bookmarkEnd w:id="51"/>
      <w:bookmarkEnd w:id="52"/>
      <w:bookmarkEnd w:id="53"/>
      <w:bookmarkEnd w:id="54"/>
      <w:bookmarkEnd w:id="55"/>
    </w:p>
    <w:p>
      <w:pPr>
        <w:rPr>
          <w:rFonts w:hint="eastAsia"/>
          <w:color w:val="000000" w:themeColor="text1"/>
          <w:sz w:val="22"/>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一、响应函</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二、授权委托书或法定代表人身份证明</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三、响应保证金格式</w:t>
      </w:r>
    </w:p>
    <w:p>
      <w:pPr>
        <w:adjustRightInd w:val="0"/>
        <w:snapToGrid w:val="0"/>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w:t>
      </w:r>
      <w:r>
        <w:rPr>
          <w:rFonts w:hint="eastAsia" w:ascii="宋体" w:hAnsi="宋体" w:cs="宋体"/>
          <w:color w:val="000000" w:themeColor="text1"/>
          <w:sz w:val="24"/>
          <w:szCs w:val="24"/>
          <w:highlight w:val="none"/>
          <w:lang w:val="en-US" w:eastAsia="zh-CN"/>
          <w14:textFill>
            <w14:solidFill>
              <w14:schemeClr w14:val="tx1"/>
            </w14:solidFill>
          </w14:textFill>
        </w:rPr>
        <w:t>方案和服务能力</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五、资格审查资料</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、其他材料</w:t>
      </w:r>
    </w:p>
    <w:p>
      <w:pPr>
        <w:ind w:firstLine="440" w:firstLineChars="200"/>
        <w:rPr>
          <w:rFonts w:hint="eastAsia" w:cs="宋体"/>
          <w:color w:val="000000" w:themeColor="text1"/>
          <w:sz w:val="22"/>
          <w:szCs w:val="21"/>
          <w:highlight w:val="none"/>
          <w14:textFill>
            <w14:solidFill>
              <w14:schemeClr w14:val="tx1"/>
            </w14:solidFill>
          </w14:textFill>
        </w:rPr>
      </w:pPr>
    </w:p>
    <w:p>
      <w:pPr>
        <w:numPr>
          <w:ilvl w:val="0"/>
          <w:numId w:val="0"/>
        </w:numPr>
        <w:rPr>
          <w:rStyle w:val="41"/>
          <w:rFonts w:hint="eastAsia" w:ascii="方正小标宋简体" w:hAnsi="方正小标宋简体" w:eastAsia="方正小标宋简体" w:cs="方正小标宋简体"/>
          <w:b w:val="0"/>
          <w:iCs/>
          <w:color w:val="000000" w:themeColor="text1"/>
          <w:sz w:val="32"/>
          <w:szCs w:val="32"/>
          <w:highlight w:val="none"/>
          <w:lang w:val="en-US"/>
          <w14:textFill>
            <w14:solidFill>
              <w14:schemeClr w14:val="tx1"/>
            </w14:solidFill>
          </w14:textFill>
        </w:rPr>
      </w:pPr>
      <w:r>
        <w:rPr>
          <w:rFonts w:hint="eastAsia" w:cs="宋体"/>
          <w:color w:val="000000" w:themeColor="text1"/>
          <w:sz w:val="24"/>
          <w:highlight w:val="none"/>
          <w14:textFill>
            <w14:solidFill>
              <w14:schemeClr w14:val="tx1"/>
            </w14:solidFill>
          </w14:textFill>
        </w:rPr>
        <w:br w:type="page"/>
      </w:r>
      <w:bookmarkStart w:id="56" w:name="_Toc3544_WPSOffice_Level1"/>
      <w:bookmarkStart w:id="57" w:name="_Toc6381"/>
      <w:bookmarkStart w:id="58" w:name="_Toc12361_WPSOffice_Level1"/>
      <w:bookmarkStart w:id="59" w:name="_Toc15905"/>
      <w:bookmarkStart w:id="60" w:name="_Toc22210"/>
      <w:bookmarkStart w:id="61" w:name="_Toc14740"/>
      <w:bookmarkStart w:id="62" w:name="_Toc13188"/>
      <w:bookmarkStart w:id="63" w:name="_Toc8612"/>
      <w:bookmarkStart w:id="64" w:name="_Toc21795"/>
      <w:bookmarkStart w:id="65" w:name="_Toc18851"/>
      <w:bookmarkStart w:id="66" w:name="_Toc13248"/>
      <w:bookmarkStart w:id="67" w:name="_Toc24145"/>
      <w:bookmarkStart w:id="68" w:name="_Toc1451"/>
      <w:bookmarkStart w:id="69" w:name="_Toc25773"/>
      <w:r>
        <w:rPr>
          <w:rFonts w:hint="eastAsia" w:cs="宋体"/>
          <w:color w:val="000000" w:themeColor="text1"/>
          <w:sz w:val="2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highlight w:val="none"/>
          <w:lang w:val="en-US" w:eastAsia="zh-CN"/>
          <w14:textFill>
            <w14:solidFill>
              <w14:schemeClr w14:val="tx1"/>
            </w14:solidFill>
          </w14:textFill>
        </w:rPr>
        <w:t xml:space="preserve">   </w:t>
      </w:r>
      <w:r>
        <w:rPr>
          <w:rStyle w:val="41"/>
          <w:rFonts w:hint="eastAsia" w:ascii="方正小标宋简体" w:hAnsi="方正小标宋简体" w:eastAsia="方正小标宋简体" w:cs="方正小标宋简体"/>
          <w:b w:val="0"/>
          <w:iCs/>
          <w:color w:val="000000" w:themeColor="text1"/>
          <w:sz w:val="32"/>
          <w:szCs w:val="32"/>
          <w:highlight w:val="none"/>
          <w14:textFill>
            <w14:solidFill>
              <w14:schemeClr w14:val="tx1"/>
            </w14:solidFill>
          </w14:textFill>
        </w:rPr>
        <w:t>一、</w:t>
      </w:r>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方正小标宋简体" w:hAnsi="方正小标宋简体" w:eastAsia="方正小标宋简体" w:cs="方正小标宋简体"/>
          <w:color w:val="000000" w:themeColor="text1"/>
          <w:sz w:val="32"/>
          <w:szCs w:val="32"/>
          <w:highlight w:val="none"/>
          <w:lang w:val="en-US" w:eastAsia="zh-CN"/>
          <w14:textFill>
            <w14:solidFill>
              <w14:schemeClr w14:val="tx1"/>
            </w14:solidFill>
          </w14:textFill>
        </w:rPr>
        <w:t>响应函</w:t>
      </w:r>
    </w:p>
    <w:bookmarkEnd w:id="69"/>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bookmarkStart w:id="70" w:name="_Toc21475"/>
      <w:bookmarkStart w:id="71" w:name="_Toc19141"/>
      <w:bookmarkStart w:id="72" w:name="_Toc7555"/>
      <w:bookmarkStart w:id="73" w:name="_Toc27441"/>
      <w:bookmarkStart w:id="74" w:name="_Toc18040"/>
      <w:bookmarkStart w:id="75" w:name="_Toc16997"/>
      <w:bookmarkStart w:id="76" w:name="_Toc4724"/>
      <w:bookmarkStart w:id="77" w:name="_Toc32328"/>
      <w:bookmarkStart w:id="78" w:name="_Toc21582"/>
      <w:bookmarkStart w:id="79" w:name="_Toc27936"/>
      <w:bookmarkStart w:id="80" w:name="_Toc31796"/>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(采购人名称)：</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1.我方已仔细研究</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项目询比文件的全部内容（含补遗书第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号至第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号），愿意以</w:t>
      </w:r>
      <w:r>
        <w:rPr>
          <w:rFonts w:hint="eastAsia" w:ascii="宋体" w:hAnsi="宋体" w:eastAsia="宋体" w:cs="宋体"/>
          <w:b/>
          <w:bCs/>
          <w:color w:val="000000" w:themeColor="text1"/>
          <w:sz w:val="24"/>
          <w:szCs w:val="24"/>
          <w:highlight w:val="none"/>
          <w:u w:val="single"/>
          <w14:textFill>
            <w14:solidFill>
              <w14:schemeClr w14:val="tx1"/>
            </w14:solidFill>
          </w14:textFill>
        </w:rPr>
        <w:t>第二信封报价文件中的总报价</w:t>
      </w:r>
      <w:r>
        <w:rPr>
          <w:rFonts w:hint="eastAsia" w:ascii="宋体" w:hAnsi="宋体" w:eastAsia="宋体" w:cs="宋体"/>
          <w:color w:val="000000" w:themeColor="text1"/>
          <w:sz w:val="24"/>
          <w:szCs w:val="24"/>
          <w:highlight w:val="none"/>
          <w14:textFill>
            <w14:solidFill>
              <w14:schemeClr w14:val="tx1"/>
            </w14:solidFill>
          </w14:textFill>
        </w:rPr>
        <w:t>，遵照询比文件的各项要求，承担</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项目的全部工作。</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2.我方根据询价文件的规定，严格履行合同的责任和义务,并保证于采购人要求的供货期限内完成本项目全部工作。</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服务期限</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lang w:val="en-US" w:eastAsia="zh-CN"/>
          <w14:textFill>
            <w14:solidFill>
              <w14:schemeClr w14:val="tx1"/>
            </w14:solidFill>
          </w14:textFill>
        </w:rPr>
        <w:t>自然日</w:t>
      </w:r>
      <w:r>
        <w:rPr>
          <w:rFonts w:hint="eastAsia" w:ascii="宋体" w:hAnsi="宋体" w:eastAsia="宋体" w:cs="宋体"/>
          <w:color w:val="000000" w:themeColor="text1"/>
          <w:sz w:val="24"/>
          <w:szCs w:val="24"/>
          <w:highlight w:val="none"/>
          <w14:textFill>
            <w14:solidFill>
              <w14:schemeClr w14:val="tx1"/>
            </w14:solidFill>
          </w14:textFill>
        </w:rPr>
        <w:t>；</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4.如我方中标，我方承诺：</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（1）在收到中标通知书后，在中标通知书规定的期限内与你方签订合同；</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（2）在签订合同时不向你方提出附加条件；</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（3）按照询比文件要求提交履约保证金；</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（4）在合同约定的期限内完成合同规定的全部义务；</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5.我方在此声明，所递交的响应文件及有关资料内容完整、真实和准确。</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6.在合同协议书正式签署生效之前，本报价函连同你方的中标通知书将构成我们双方之间共同遵守的文件，对双方具有约束力。</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（其他补充说明）。</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（盖单位章）</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法定代表人或其委托代理人：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（签字）</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网址：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邮政编码：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ind w:firstLine="5760" w:firstLineChars="2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adjustRightInd w:val="0"/>
        <w:snapToGrid w:val="0"/>
        <w:spacing w:line="360" w:lineRule="auto"/>
        <w:ind w:firstLine="4200" w:firstLineChars="1750"/>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w:t>
      </w:r>
      <w:r>
        <w:rPr>
          <w:rFonts w:hint="eastAsia" w:ascii="宋体" w:hAnsi="宋体" w:eastAsia="宋体" w:cs="宋体"/>
          <w:b/>
          <w:color w:val="000000" w:themeColor="text1"/>
          <w:sz w:val="24"/>
          <w:szCs w:val="24"/>
          <w:highlight w:val="none"/>
          <w14:textFill>
            <w14:solidFill>
              <w14:schemeClr w14:val="tx1"/>
            </w14:solidFill>
          </w14:textFill>
        </w:rPr>
        <w:t>授权委托书或法定代表人身份证明</w:t>
      </w:r>
    </w:p>
    <w:p>
      <w:pPr>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44"/>
          <w:sz w:val="24"/>
          <w:szCs w:val="24"/>
          <w:highlight w:val="none"/>
          <w14:textFill>
            <w14:solidFill>
              <w14:schemeClr w14:val="tx1"/>
            </w14:solidFill>
          </w14:textFill>
        </w:rPr>
        <w:t>（一）授权委托书</w:t>
      </w:r>
      <w:r>
        <w:rPr>
          <w:rStyle w:val="27"/>
          <w:rFonts w:hint="eastAsia" w:ascii="宋体" w:hAnsi="宋体" w:eastAsia="宋体" w:cs="宋体"/>
          <w:color w:val="000000" w:themeColor="text1"/>
          <w:sz w:val="24"/>
          <w:szCs w:val="24"/>
          <w:highlight w:val="none"/>
          <w14:textFill>
            <w14:solidFill>
              <w14:schemeClr w14:val="tx1"/>
            </w14:solidFill>
          </w14:textFill>
        </w:rPr>
        <w:footnoteReference w:id="0"/>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（姓名）系</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（供应商名称）的法定代表人，现委托</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（姓名）为我方代理人。 代理人根据授权， 以我方名义签署、 澄清、 递交、 撤回、 修改</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项目响应文件、签订合同和处理有关事宜，其法律后果由我方承担。</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委托期限：自本委托书签署之日起至询比有效期期满。</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代理人无转委托权。 </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附：法定代表人身份证复印件及委托代理人身份证复印件</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供应商：</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（盖单位章）</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法定代表人：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（签字）</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身份证号码：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委托代理人：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（签字）</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身份证号码：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w:t>
      </w:r>
    </w:p>
    <w:p>
      <w:pPr>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1.法定代表人和委托代理人必须在授权委托书上签名或其他电子制版签名代替；</w:t>
      </w:r>
    </w:p>
    <w:p>
      <w:pPr>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r>
        <w:rPr>
          <w:rFonts w:hint="eastAsia" w:ascii="宋体" w:hAnsi="宋体" w:eastAsia="宋体" w:cs="宋体"/>
          <w:color w:val="000000" w:themeColor="text1"/>
          <w:sz w:val="24"/>
          <w:szCs w:val="24"/>
          <w:highlight w:val="none"/>
          <w14:textFill>
            <w14:solidFill>
              <w14:schemeClr w14:val="tx1"/>
            </w14:solidFill>
          </w14:textFill>
        </w:rPr>
        <w:t>（二）法定代表人身份证明</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r>
        <w:rPr>
          <w:rFonts w:hint="eastAsia" w:ascii="宋体" w:hAnsi="宋体" w:eastAsia="宋体" w:cs="宋体"/>
          <w:b/>
          <w:bCs/>
          <w:color w:val="000000" w:themeColor="text1"/>
          <w:sz w:val="24"/>
          <w:szCs w:val="24"/>
          <w:highlight w:val="none"/>
          <w:u w:val="single"/>
          <w14:textFill>
            <w14:solidFill>
              <w14:schemeClr w14:val="tx1"/>
            </w14:solidFill>
          </w14:textFill>
        </w:rPr>
        <w:t>（法定代表人亲笔签名）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性别：</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年龄：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职务：</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（供应商名称）的法定代表人。</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特此证明。</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附：法定代表人身份证复印件。</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供应商：</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（盖单位章）</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1.法定代表人必须在法定代表人身份证明上亲笔签名或其他电子制版签名代替；</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sectPr>
          <w:footerReference r:id="rId13" w:type="default"/>
          <w:footerReference r:id="rId14" w:type="even"/>
          <w:footnotePr>
            <w:numFmt w:val="decimalEnclosedCircleChinese"/>
            <w:numRestart w:val="eachPage"/>
          </w:footnotePr>
          <w:pgSz w:w="11849" w:h="16781"/>
          <w:pgMar w:top="1134" w:right="1134" w:bottom="1134" w:left="1134" w:header="850" w:footer="992" w:gutter="0"/>
          <w:cols w:space="720" w:num="1"/>
          <w:titlePg/>
          <w:docGrid w:type="lines" w:linePitch="330" w:charSpace="0"/>
        </w:sectPr>
      </w:pPr>
    </w:p>
    <w:p>
      <w:pPr>
        <w:adjustRightInd w:val="0"/>
        <w:snapToGrid w:val="0"/>
        <w:spacing w:line="360" w:lineRule="auto"/>
        <w:ind w:firstLine="2891" w:firstLineChars="1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三、响应保证金格式</w:t>
      </w:r>
    </w:p>
    <w:p>
      <w:pPr>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供应商应在此提供电汇回单或转账凭据的复印件。</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utoSpaceDE w:val="0"/>
        <w:autoSpaceDN w:val="0"/>
        <w:adjustRightInd w:val="0"/>
        <w:ind w:firstLine="472" w:firstLineChars="197"/>
        <w:jc w:val="left"/>
        <w:rPr>
          <w:rFonts w:hint="eastAsia"/>
          <w:color w:val="000000" w:themeColor="text1"/>
          <w:sz w:val="24"/>
          <w:szCs w:val="24"/>
          <w:highlight w:val="none"/>
          <w14:textFill>
            <w14:solidFill>
              <w14:schemeClr w14:val="tx1"/>
            </w14:solidFill>
          </w14:textFill>
        </w:rPr>
      </w:pPr>
    </w:p>
    <w:p>
      <w:pPr>
        <w:pStyle w:val="2"/>
        <w:ind w:firstLine="0" w:firstLineChars="0"/>
        <w:rPr>
          <w:rFonts w:hint="eastAsia"/>
          <w:color w:val="000000" w:themeColor="text1"/>
          <w:highlight w:val="none"/>
          <w14:textFill>
            <w14:solidFill>
              <w14:schemeClr w14:val="tx1"/>
            </w14:solidFill>
          </w14:textFill>
        </w:rPr>
      </w:pPr>
    </w:p>
    <w:p>
      <w:pPr>
        <w:pStyle w:val="9"/>
        <w:outlineLvl w:val="3"/>
        <w:rPr>
          <w:rStyle w:val="41"/>
          <w:rFonts w:hint="default" w:ascii="方正小标宋简体" w:eastAsia="方正小标宋简体"/>
          <w:b w:val="0"/>
          <w:iCs/>
          <w:color w:val="000000" w:themeColor="text1"/>
          <w:sz w:val="32"/>
          <w:szCs w:val="32"/>
          <w:highlight w:val="none"/>
          <w:lang w:val="en-US" w:eastAsia="zh-CN"/>
          <w14:textFill>
            <w14:solidFill>
              <w14:schemeClr w14:val="tx1"/>
            </w14:solidFill>
          </w14:textFill>
        </w:rPr>
      </w:pPr>
      <w:r>
        <w:rPr>
          <w:rStyle w:val="41"/>
          <w:rFonts w:hint="eastAsia" w:ascii="方正小标宋简体" w:eastAsia="方正小标宋简体"/>
          <w:b w:val="0"/>
          <w:iCs/>
          <w:color w:val="000000" w:themeColor="text1"/>
          <w:sz w:val="32"/>
          <w:szCs w:val="32"/>
          <w:highlight w:val="none"/>
          <w14:textFill>
            <w14:solidFill>
              <w14:schemeClr w14:val="tx1"/>
            </w14:solidFill>
          </w14:textFill>
        </w:rPr>
        <w:br w:type="page"/>
      </w:r>
      <w:bookmarkEnd w:id="70"/>
      <w:bookmarkEnd w:id="71"/>
      <w:bookmarkEnd w:id="72"/>
      <w:bookmarkEnd w:id="73"/>
      <w:bookmarkEnd w:id="74"/>
      <w:bookmarkEnd w:id="75"/>
      <w:bookmarkEnd w:id="76"/>
      <w:bookmarkEnd w:id="77"/>
      <w:bookmarkEnd w:id="78"/>
      <w:bookmarkEnd w:id="79"/>
      <w:bookmarkEnd w:id="80"/>
      <w:bookmarkStart w:id="81" w:name="_Toc32015_WPSOffice_Level1"/>
      <w:bookmarkStart w:id="82" w:name="_Toc2515"/>
      <w:bookmarkStart w:id="83" w:name="_Toc10632"/>
      <w:bookmarkStart w:id="84" w:name="_Toc30153"/>
      <w:bookmarkStart w:id="85" w:name="_Toc21081"/>
      <w:bookmarkStart w:id="86" w:name="_Toc295200867"/>
      <w:bookmarkStart w:id="87" w:name="_Toc257805590"/>
      <w:bookmarkStart w:id="88" w:name="_Toc17599"/>
      <w:bookmarkStart w:id="89" w:name="_Toc6481"/>
      <w:bookmarkStart w:id="90" w:name="_Toc31960"/>
      <w:bookmarkStart w:id="91" w:name="_Toc3594"/>
      <w:bookmarkStart w:id="92" w:name="_Toc14791"/>
      <w:bookmarkStart w:id="93" w:name="_Toc14892_WPSOffice_Level1"/>
      <w:bookmarkStart w:id="94" w:name="_Toc310946985"/>
      <w:bookmarkStart w:id="95" w:name="_Toc385235368"/>
      <w:bookmarkStart w:id="96" w:name="_Toc22936"/>
      <w:bookmarkStart w:id="97" w:name="_Toc242543492"/>
      <w:bookmarkStart w:id="98" w:name="_Toc11073"/>
      <w:r>
        <w:rPr>
          <w:rStyle w:val="41"/>
          <w:rFonts w:hint="eastAsia" w:ascii="方正小标宋简体" w:eastAsia="方正小标宋简体"/>
          <w:b w:val="0"/>
          <w:iCs/>
          <w:color w:val="000000" w:themeColor="text1"/>
          <w:sz w:val="32"/>
          <w:szCs w:val="32"/>
          <w:highlight w:val="none"/>
          <w:lang w:val="en-US" w:eastAsia="zh-CN"/>
          <w14:textFill>
            <w14:solidFill>
              <w14:schemeClr w14:val="tx1"/>
            </w14:solidFill>
          </w14:textFill>
        </w:rPr>
        <w:t>四</w:t>
      </w:r>
      <w:r>
        <w:rPr>
          <w:rStyle w:val="41"/>
          <w:rFonts w:hint="eastAsia" w:ascii="方正小标宋简体" w:eastAsia="方正小标宋简体"/>
          <w:b w:val="0"/>
          <w:iCs/>
          <w:color w:val="000000" w:themeColor="text1"/>
          <w:sz w:val="32"/>
          <w:szCs w:val="32"/>
          <w:highlight w:val="none"/>
          <w14:textFill>
            <w14:solidFill>
              <w14:schemeClr w14:val="tx1"/>
            </w14:solidFill>
          </w14:textFill>
        </w:rPr>
        <w: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Start w:id="99" w:name="_Toc679"/>
      <w:bookmarkStart w:id="100" w:name="_Toc10974"/>
      <w:bookmarkStart w:id="101" w:name="_Toc9673"/>
      <w:bookmarkStart w:id="102" w:name="_Toc5685"/>
      <w:r>
        <w:rPr>
          <w:rStyle w:val="41"/>
          <w:rFonts w:hint="eastAsia" w:ascii="方正小标宋简体" w:eastAsia="方正小标宋简体"/>
          <w:b w:val="0"/>
          <w:iCs/>
          <w:color w:val="000000" w:themeColor="text1"/>
          <w:sz w:val="32"/>
          <w:szCs w:val="32"/>
          <w:highlight w:val="none"/>
          <w:lang w:val="en-US" w:eastAsia="zh-CN"/>
          <w14:textFill>
            <w14:solidFill>
              <w14:schemeClr w14:val="tx1"/>
            </w14:solidFill>
          </w14:textFill>
        </w:rPr>
        <w:t>方案和服务能力</w:t>
      </w:r>
    </w:p>
    <w:bookmarkEnd w:id="98"/>
    <w:bookmarkEnd w:id="99"/>
    <w:bookmarkEnd w:id="100"/>
    <w:bookmarkEnd w:id="101"/>
    <w:bookmarkEnd w:id="102"/>
    <w:p>
      <w:pPr>
        <w:rPr>
          <w:rFonts w:hint="default" w:ascii="Times New Roman" w:hAnsi="Times New Roman" w:eastAsia="宋体"/>
          <w:color w:val="000000" w:themeColor="text1"/>
          <w:sz w:val="20"/>
          <w:szCs w:val="22"/>
          <w:highlight w:val="none"/>
          <w:lang w:val="en-US" w:eastAsia="zh-CN"/>
          <w14:textFill>
            <w14:solidFill>
              <w14:schemeClr w14:val="tx1"/>
            </w14:solidFill>
          </w14:textFill>
        </w:rPr>
      </w:pPr>
      <w:bookmarkStart w:id="103" w:name="_Toc26090"/>
      <w:bookmarkStart w:id="104" w:name="_Toc9751"/>
      <w:bookmarkStart w:id="105" w:name="_Toc27534"/>
      <w:bookmarkStart w:id="106" w:name="_Toc17874"/>
      <w:r>
        <w:rPr>
          <w:rFonts w:hint="eastAsia"/>
          <w:color w:val="000000" w:themeColor="text1"/>
          <w:sz w:val="20"/>
          <w:szCs w:val="22"/>
          <w:highlight w:val="none"/>
          <w:lang w:val="en-US" w:eastAsia="zh-CN"/>
          <w14:textFill>
            <w14:solidFill>
              <w14:schemeClr w14:val="tx1"/>
            </w14:solidFill>
          </w14:textFill>
        </w:rPr>
        <w:t>包括但不限于以下内容：</w:t>
      </w:r>
    </w:p>
    <w:p>
      <w:pPr>
        <w:rPr>
          <w:rFonts w:hint="eastAsia"/>
          <w:color w:val="000000" w:themeColor="text1"/>
          <w:sz w:val="20"/>
          <w:szCs w:val="22"/>
          <w:highlight w:val="none"/>
          <w:lang w:val="en-US" w:eastAsia="zh-CN"/>
          <w14:textFill>
            <w14:solidFill>
              <w14:schemeClr w14:val="tx1"/>
            </w14:solidFill>
          </w14:textFill>
        </w:rPr>
      </w:pPr>
      <w:r>
        <w:rPr>
          <w:rFonts w:hint="eastAsia"/>
          <w:color w:val="000000" w:themeColor="text1"/>
          <w:sz w:val="20"/>
          <w:szCs w:val="22"/>
          <w:highlight w:val="none"/>
          <w:lang w:val="en-US" w:eastAsia="zh-CN"/>
          <w14:textFill>
            <w14:solidFill>
              <w14:schemeClr w14:val="tx1"/>
            </w14:solidFill>
          </w14:textFill>
        </w:rPr>
        <w:t>1、构架设计</w:t>
      </w:r>
    </w:p>
    <w:p>
      <w:pPr>
        <w:rPr>
          <w:rFonts w:hint="eastAsia"/>
          <w:color w:val="000000" w:themeColor="text1"/>
          <w:sz w:val="20"/>
          <w:szCs w:val="22"/>
          <w:highlight w:val="none"/>
          <w:lang w:val="en-US" w:eastAsia="zh-CN"/>
          <w14:textFill>
            <w14:solidFill>
              <w14:schemeClr w14:val="tx1"/>
            </w14:solidFill>
          </w14:textFill>
        </w:rPr>
      </w:pPr>
      <w:r>
        <w:rPr>
          <w:rFonts w:hint="eastAsia"/>
          <w:color w:val="000000" w:themeColor="text1"/>
          <w:sz w:val="20"/>
          <w:szCs w:val="22"/>
          <w:highlight w:val="none"/>
          <w:lang w:val="en-US" w:eastAsia="zh-CN"/>
          <w14:textFill>
            <w14:solidFill>
              <w14:schemeClr w14:val="tx1"/>
            </w14:solidFill>
          </w14:textFill>
        </w:rPr>
        <w:t>2、流程设计</w:t>
      </w:r>
    </w:p>
    <w:p>
      <w:pPr>
        <w:rPr>
          <w:rFonts w:hint="eastAsia"/>
          <w:color w:val="000000" w:themeColor="text1"/>
          <w:sz w:val="20"/>
          <w:szCs w:val="22"/>
          <w:highlight w:val="none"/>
          <w:lang w:val="en-US" w:eastAsia="zh-CN"/>
          <w14:textFill>
            <w14:solidFill>
              <w14:schemeClr w14:val="tx1"/>
            </w14:solidFill>
          </w14:textFill>
        </w:rPr>
      </w:pPr>
      <w:r>
        <w:rPr>
          <w:rFonts w:hint="eastAsia"/>
          <w:color w:val="000000" w:themeColor="text1"/>
          <w:sz w:val="20"/>
          <w:szCs w:val="22"/>
          <w:highlight w:val="none"/>
          <w:lang w:val="en-US" w:eastAsia="zh-CN"/>
          <w14:textFill>
            <w14:solidFill>
              <w14:schemeClr w14:val="tx1"/>
            </w14:solidFill>
          </w14:textFill>
        </w:rPr>
        <w:t>3、功能设计</w:t>
      </w:r>
    </w:p>
    <w:p>
      <w:pPr>
        <w:rPr>
          <w:rFonts w:hint="eastAsia"/>
          <w:color w:val="000000" w:themeColor="text1"/>
          <w:sz w:val="20"/>
          <w:szCs w:val="22"/>
          <w:highlight w:val="none"/>
          <w:lang w:val="en-US" w:eastAsia="zh-CN"/>
          <w14:textFill>
            <w14:solidFill>
              <w14:schemeClr w14:val="tx1"/>
            </w14:solidFill>
          </w14:textFill>
        </w:rPr>
      </w:pPr>
      <w:r>
        <w:rPr>
          <w:rFonts w:hint="eastAsia"/>
          <w:color w:val="000000" w:themeColor="text1"/>
          <w:sz w:val="20"/>
          <w:szCs w:val="22"/>
          <w:highlight w:val="none"/>
          <w:lang w:val="en-US" w:eastAsia="zh-CN"/>
          <w14:textFill>
            <w14:solidFill>
              <w14:schemeClr w14:val="tx1"/>
            </w14:solidFill>
          </w14:textFill>
        </w:rPr>
        <w:t>4、安全设计</w:t>
      </w:r>
    </w:p>
    <w:p>
      <w:pPr>
        <w:rPr>
          <w:rFonts w:hint="eastAsia"/>
          <w:color w:val="000000" w:themeColor="text1"/>
          <w:sz w:val="20"/>
          <w:szCs w:val="22"/>
          <w:highlight w:val="none"/>
          <w:lang w:val="en-US" w:eastAsia="zh-CN"/>
          <w14:textFill>
            <w14:solidFill>
              <w14:schemeClr w14:val="tx1"/>
            </w14:solidFill>
          </w14:textFill>
        </w:rPr>
      </w:pPr>
      <w:r>
        <w:rPr>
          <w:rFonts w:hint="eastAsia"/>
          <w:color w:val="000000" w:themeColor="text1"/>
          <w:sz w:val="20"/>
          <w:szCs w:val="22"/>
          <w:highlight w:val="none"/>
          <w:lang w:val="en-US" w:eastAsia="zh-CN"/>
          <w14:textFill>
            <w14:solidFill>
              <w14:schemeClr w14:val="tx1"/>
            </w14:solidFill>
          </w14:textFill>
        </w:rPr>
        <w:t>5、本地化服务能力</w:t>
      </w:r>
    </w:p>
    <w:p>
      <w:pPr>
        <w:rPr>
          <w:rFonts w:hint="default"/>
          <w:color w:val="000000" w:themeColor="text1"/>
          <w:sz w:val="20"/>
          <w:szCs w:val="22"/>
          <w:highlight w:val="none"/>
          <w:lang w:val="en-US" w:eastAsia="zh-CN"/>
          <w14:textFill>
            <w14:solidFill>
              <w14:schemeClr w14:val="tx1"/>
            </w14:solidFill>
          </w14:textFill>
        </w:rPr>
      </w:pPr>
      <w:r>
        <w:rPr>
          <w:rFonts w:hint="eastAsia"/>
          <w:color w:val="000000" w:themeColor="text1"/>
          <w:sz w:val="20"/>
          <w:szCs w:val="22"/>
          <w:highlight w:val="none"/>
          <w:lang w:val="en-US" w:eastAsia="zh-CN"/>
          <w14:textFill>
            <w14:solidFill>
              <w14:schemeClr w14:val="tx1"/>
            </w14:solidFill>
          </w14:textFill>
        </w:rPr>
        <w:t>6、售后服务能力</w:t>
      </w:r>
    </w:p>
    <w:p>
      <w:pPr>
        <w:adjustRightInd w:val="0"/>
        <w:snapToGrid w:val="0"/>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br w:type="page"/>
      </w:r>
      <w:bookmarkEnd w:id="103"/>
      <w:bookmarkEnd w:id="104"/>
      <w:bookmarkEnd w:id="105"/>
      <w:bookmarkEnd w:id="106"/>
      <w:bookmarkStart w:id="107" w:name="_Toc7999"/>
      <w:bookmarkStart w:id="108" w:name="_Toc29208"/>
      <w:bookmarkStart w:id="109" w:name="_Toc31327"/>
      <w:bookmarkStart w:id="110" w:name="_Toc15575"/>
      <w:bookmarkStart w:id="111" w:name="_Toc8233"/>
      <w:bookmarkStart w:id="112" w:name="_Toc6648"/>
      <w:r>
        <w:rPr>
          <w:rFonts w:hint="eastAsia" w:ascii="宋体" w:hAnsi="宋体" w:eastAsia="宋体" w:cs="宋体"/>
          <w:b/>
          <w:bCs/>
          <w:color w:val="000000" w:themeColor="text1"/>
          <w:sz w:val="24"/>
          <w:szCs w:val="24"/>
          <w:highlight w:val="none"/>
          <w14:textFill>
            <w14:solidFill>
              <w14:schemeClr w14:val="tx1"/>
            </w14:solidFill>
          </w14:textFill>
        </w:rPr>
        <w:t>五、资格审查资料</w:t>
      </w:r>
    </w:p>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（一）供应商基本情况表</w:t>
      </w:r>
    </w:p>
    <w:tbl>
      <w:tblPr>
        <w:tblStyle w:val="22"/>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900"/>
        <w:gridCol w:w="900"/>
        <w:gridCol w:w="1050"/>
        <w:gridCol w:w="568"/>
        <w:gridCol w:w="1442"/>
        <w:gridCol w:w="1619"/>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供应商名称</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注册地址</w:t>
            </w:r>
          </w:p>
        </w:tc>
        <w:tc>
          <w:tcPr>
            <w:tcW w:w="3418" w:type="dxa"/>
            <w:gridSpan w:val="4"/>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邮政编码</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p>
        </w:tc>
        <w:tc>
          <w:tcPr>
            <w:tcW w:w="90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w:t>
            </w:r>
          </w:p>
        </w:tc>
        <w:tc>
          <w:tcPr>
            <w:tcW w:w="2518" w:type="dxa"/>
            <w:gridSpan w:val="3"/>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（须部门负责人及以上）</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 话</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（须工商注册地固定电话）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  真</w:t>
            </w:r>
          </w:p>
        </w:tc>
        <w:tc>
          <w:tcPr>
            <w:tcW w:w="2518" w:type="dxa"/>
            <w:gridSpan w:val="3"/>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（须工商注册地传真）</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电子邮件</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w:t>
            </w:r>
          </w:p>
        </w:tc>
        <w:tc>
          <w:tcPr>
            <w:tcW w:w="90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p>
        </w:tc>
        <w:tc>
          <w:tcPr>
            <w:tcW w:w="90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618" w:type="dxa"/>
            <w:gridSpan w:val="2"/>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技术职称</w:t>
            </w:r>
          </w:p>
        </w:tc>
        <w:tc>
          <w:tcPr>
            <w:tcW w:w="1442"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p>
        </w:tc>
        <w:tc>
          <w:tcPr>
            <w:tcW w:w="126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成立时间</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939" w:type="dxa"/>
            <w:gridSpan w:val="5"/>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ind w:firstLine="1200" w:firstLine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企业资质等级</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其中</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高级职称人员</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营业执照号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中级职称人员</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注册资本</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初级职称人员</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基本账户开户银行</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基本账户账号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right w:val="single" w:color="auto" w:sz="4" w:space="0"/>
            </w:tcBorders>
            <w:vAlign w:val="center"/>
          </w:tcPr>
          <w:p>
            <w:pPr>
              <w:topLinePunct/>
              <w:adjustRightInd w:val="0"/>
              <w:snapToGrid w:val="0"/>
              <w:spacing w:line="360" w:lineRule="auto"/>
              <w:ind w:firstLine="240" w:firstLineChars="10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经营范围</w:t>
            </w:r>
          </w:p>
        </w:tc>
        <w:tc>
          <w:tcPr>
            <w:tcW w:w="7739" w:type="dxa"/>
            <w:gridSpan w:val="7"/>
            <w:tcBorders>
              <w:top w:val="single" w:color="auto" w:sz="4" w:space="0"/>
              <w:left w:val="single" w:color="auto" w:sz="4" w:space="0"/>
              <w:right w:val="single" w:color="auto" w:sz="4" w:space="0"/>
            </w:tcBorders>
            <w:vAlign w:val="center"/>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供应商关联企业情况</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adjustRightInd w:val="0"/>
        <w:snapToGrid w:val="0"/>
        <w:spacing w:line="360" w:lineRule="auto"/>
        <w:ind w:left="323" w:hanging="323" w:hangingChars="134"/>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注：在本表后应附：</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1.（1）企业法人营业执照副本和组织机构代码证副本（按照“三证合一”或“五证合一”登记制度进行登记的，可仅提供营业执照副本）的复印件；</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（2）基本账户开户许可证的复印件；</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上述复印件应提供全本（证书封面、封底、空白页除外），应包括供应商名称、供应商其他相关信息、颁发机构名称、供应商信息变更情况等关键页在内，并逐页加盖供应商单位章。</w:t>
      </w: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sectPr>
          <w:headerReference r:id="rId15" w:type="first"/>
          <w:footnotePr>
            <w:numFmt w:val="decimalEnclosedCircleChinese"/>
            <w:numRestart w:val="eachPage"/>
          </w:footnotePr>
          <w:pgSz w:w="11849" w:h="16781"/>
          <w:pgMar w:top="1134" w:right="1134" w:bottom="1134" w:left="1134" w:header="850" w:footer="992" w:gutter="0"/>
          <w:cols w:space="720" w:num="1"/>
          <w:titlePg/>
          <w:docGrid w:type="lines" w:linePitch="330" w:charSpace="0"/>
        </w:sectPr>
      </w:pPr>
    </w:p>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widowControl/>
        <w:autoSpaceDE w:val="0"/>
        <w:autoSpaceDN w:val="0"/>
        <w:adjustRightInd w:val="0"/>
        <w:snapToGrid w:val="0"/>
        <w:spacing w:line="360" w:lineRule="auto"/>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 近年完成的类似项目情况表</w:t>
      </w:r>
    </w:p>
    <w:p>
      <w:pPr>
        <w:widowControl/>
        <w:autoSpaceDE w:val="0"/>
        <w:autoSpaceDN w:val="0"/>
        <w:adjustRightInd w:val="0"/>
        <w:snapToGrid w:val="0"/>
        <w:spacing w:line="360" w:lineRule="auto"/>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项目所在地</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发包人名称</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发包人地址</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发包人电话</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合同价格</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合同服务期限</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实际完成日期</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承担的工作</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项目负责人</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项目描述</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c>
          <w:tcPr>
            <w:tcW w:w="6773" w:type="dxa"/>
          </w:tcPr>
          <w:p>
            <w:pPr>
              <w:topLinePunct/>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r>
    </w:tbl>
    <w:p>
      <w:pPr>
        <w:adjustRightInd w:val="0"/>
        <w:snapToGrid w:val="0"/>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注：</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1.每张表只填写一个项目，并标明序号；</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2.本表后应附以下业绩证明材料，否则业绩不予认可。 </w:t>
      </w:r>
    </w:p>
    <w:p>
      <w:pPr>
        <w:spacing w:line="360" w:lineRule="auto"/>
        <w:ind w:firstLine="480" w:firstLineChars="200"/>
        <w:rPr>
          <w:rFonts w:hint="eastAsia" w:ascii="宋体" w:hAnsi="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lang w:eastAsia="zh-CN"/>
          <w14:textFill>
            <w14:solidFill>
              <w14:schemeClr w14:val="tx1"/>
            </w14:solidFill>
          </w14:textFill>
        </w:rPr>
        <w:t>近三年（20</w:t>
      </w:r>
      <w:r>
        <w:rPr>
          <w:rFonts w:hint="eastAsia" w:ascii="宋体" w:hAnsi="宋体" w:cs="宋体"/>
          <w:color w:val="000000" w:themeColor="text1"/>
          <w:kern w:val="0"/>
          <w:sz w:val="24"/>
          <w:szCs w:val="24"/>
          <w:highlight w:val="none"/>
          <w:lang w:val="en-US" w:eastAsia="zh-CN"/>
          <w14:textFill>
            <w14:solidFill>
              <w14:schemeClr w14:val="tx1"/>
            </w14:solidFill>
          </w14:textFill>
        </w:rPr>
        <w:t>17</w:t>
      </w:r>
      <w:r>
        <w:rPr>
          <w:rFonts w:hint="eastAsia" w:ascii="宋体" w:hAnsi="宋体" w:cs="宋体"/>
          <w:color w:val="000000" w:themeColor="text1"/>
          <w:kern w:val="0"/>
          <w:sz w:val="24"/>
          <w:szCs w:val="24"/>
          <w:highlight w:val="none"/>
          <w:lang w:eastAsia="zh-CN"/>
          <w14:textFill>
            <w14:solidFill>
              <w14:schemeClr w14:val="tx1"/>
            </w14:solidFill>
          </w14:textFill>
        </w:rPr>
        <w:t>年1月1日至</w:t>
      </w:r>
      <w:r>
        <w:rPr>
          <w:rFonts w:hint="eastAsia" w:ascii="宋体" w:hAnsi="宋体" w:cs="宋体"/>
          <w:color w:val="000000" w:themeColor="text1"/>
          <w:kern w:val="0"/>
          <w:sz w:val="24"/>
          <w:szCs w:val="24"/>
          <w:highlight w:val="none"/>
          <w:lang w:val="en-US" w:eastAsia="zh-CN"/>
          <w14:textFill>
            <w14:solidFill>
              <w14:schemeClr w14:val="tx1"/>
            </w14:solidFill>
          </w14:textFill>
        </w:rPr>
        <w:t>今</w:t>
      </w:r>
      <w:r>
        <w:rPr>
          <w:rFonts w:hint="eastAsia" w:ascii="宋体" w:hAnsi="宋体" w:cs="宋体"/>
          <w:color w:val="000000" w:themeColor="text1"/>
          <w:kern w:val="0"/>
          <w:sz w:val="24"/>
          <w:szCs w:val="24"/>
          <w:highlight w:val="none"/>
          <w:lang w:eastAsia="zh-CN"/>
          <w14:textFill>
            <w14:solidFill>
              <w14:schemeClr w14:val="tx1"/>
            </w14:solidFill>
          </w14:textFill>
        </w:rPr>
        <w:t>），独立完成过1项合同金额不少于</w:t>
      </w:r>
      <w:r>
        <w:rPr>
          <w:rFonts w:hint="eastAsia" w:ascii="宋体" w:hAnsi="宋体" w:cs="宋体"/>
          <w:color w:val="000000" w:themeColor="text1"/>
          <w:kern w:val="0"/>
          <w:sz w:val="24"/>
          <w:szCs w:val="24"/>
          <w:highlight w:val="none"/>
          <w:lang w:val="en-US" w:eastAsia="zh-CN"/>
          <w14:textFill>
            <w14:solidFill>
              <w14:schemeClr w14:val="tx1"/>
            </w14:solidFill>
          </w14:textFill>
        </w:rPr>
        <w:t>10</w:t>
      </w:r>
      <w:r>
        <w:rPr>
          <w:rFonts w:hint="eastAsia" w:ascii="宋体" w:hAnsi="宋体" w:cs="宋体"/>
          <w:color w:val="000000" w:themeColor="text1"/>
          <w:kern w:val="0"/>
          <w:sz w:val="24"/>
          <w:szCs w:val="24"/>
          <w:highlight w:val="none"/>
          <w:lang w:eastAsia="zh-CN"/>
          <w14:textFill>
            <w14:solidFill>
              <w14:schemeClr w14:val="tx1"/>
            </w14:solidFill>
          </w14:textFill>
        </w:rPr>
        <w:t>万元的</w:t>
      </w:r>
      <w:r>
        <w:rPr>
          <w:rFonts w:hint="eastAsia" w:ascii="宋体" w:hAnsi="宋体" w:cs="宋体"/>
          <w:color w:val="000000" w:themeColor="text1"/>
          <w:kern w:val="0"/>
          <w:sz w:val="24"/>
          <w:szCs w:val="24"/>
          <w:highlight w:val="none"/>
          <w14:textFill>
            <w14:solidFill>
              <w14:schemeClr w14:val="tx1"/>
            </w14:solidFill>
          </w14:textFill>
        </w:rPr>
        <w:t>类似软件系统开发项目</w:t>
      </w:r>
      <w:r>
        <w:rPr>
          <w:rFonts w:hint="eastAsia" w:ascii="宋体" w:hAnsi="宋体" w:cs="宋体"/>
          <w:color w:val="000000" w:themeColor="text1"/>
          <w:kern w:val="0"/>
          <w:sz w:val="24"/>
          <w:szCs w:val="24"/>
          <w:highlight w:val="none"/>
          <w:lang w:eastAsia="zh-CN"/>
          <w14:textFill>
            <w14:solidFill>
              <w14:schemeClr w14:val="tx1"/>
            </w14:solidFill>
          </w14:textFill>
        </w:rPr>
        <w:t>。</w:t>
      </w:r>
    </w:p>
    <w:p>
      <w:pPr>
        <w:spacing w:line="240" w:lineRule="auto"/>
        <w:ind w:firstLine="420" w:firstLineChars="200"/>
        <w:jc w:val="both"/>
        <w:rPr>
          <w:rFonts w:hint="eastAsia" w:ascii="宋体" w:hAnsi="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kern w:val="0"/>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时间以合同签订时间为准，若合同无法体现工作内容或合同总金额或资格审查要求内相关内容的，须提供相关承诺，格式自拟，否则该业绩不予认可。</w:t>
      </w:r>
      <w:r>
        <w:rPr>
          <w:rFonts w:hint="eastAsia" w:ascii="宋体" w:hAnsi="宋体" w:cs="宋体"/>
          <w:color w:val="000000" w:themeColor="text1"/>
          <w:kern w:val="0"/>
          <w:sz w:val="21"/>
          <w:szCs w:val="21"/>
          <w:highlight w:val="none"/>
          <w:lang w:eastAsia="zh-CN"/>
          <w14:textFill>
            <w14:solidFill>
              <w14:schemeClr w14:val="tx1"/>
            </w14:solidFill>
          </w14:textFill>
        </w:rPr>
        <w:t>）</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3.如近年来，</w:t>
      </w:r>
      <w:r>
        <w:rPr>
          <w:rFonts w:hint="eastAsia" w:ascii="宋体" w:hAnsi="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法人机构发生合法变更或重组或法人名称变更时，应提供相关部门的合法批件或其他相关证明材料来证明其所附业绩的继承性。</w:t>
      </w: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spacing w:line="440" w:lineRule="exact"/>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三</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项目负责人</w:t>
      </w:r>
      <w:r>
        <w:rPr>
          <w:rFonts w:hint="eastAsia" w:ascii="宋体" w:hAnsi="宋体" w:cs="宋体"/>
          <w:color w:val="000000" w:themeColor="text1"/>
          <w:sz w:val="24"/>
          <w:highlight w:val="none"/>
          <w14:textFill>
            <w14:solidFill>
              <w14:schemeClr w14:val="tx1"/>
            </w14:solidFill>
          </w14:textFill>
        </w:rPr>
        <w:t>资历表</w:t>
      </w:r>
    </w:p>
    <w:p>
      <w:pPr>
        <w:widowControl/>
        <w:autoSpaceDE w:val="0"/>
        <w:autoSpaceDN w:val="0"/>
        <w:jc w:val="center"/>
        <w:textAlignment w:val="bottom"/>
        <w:rPr>
          <w:rFonts w:hint="eastAsia" w:ascii="宋体" w:hAnsi="宋体" w:cs="宋体"/>
          <w:b/>
          <w:color w:val="000000" w:themeColor="text1"/>
          <w:highlight w:val="none"/>
          <w14:textFill>
            <w14:solidFill>
              <w14:schemeClr w14:val="tx1"/>
            </w14:solidFill>
          </w14:textFill>
        </w:rPr>
      </w:pPr>
    </w:p>
    <w:tbl>
      <w:tblPr>
        <w:tblStyle w:val="22"/>
        <w:tblW w:w="0" w:type="auto"/>
        <w:jc w:val="center"/>
        <w:tblLayout w:type="fixed"/>
        <w:tblCellMar>
          <w:top w:w="0" w:type="dxa"/>
          <w:left w:w="28" w:type="dxa"/>
          <w:bottom w:w="0" w:type="dxa"/>
          <w:right w:w="28" w:type="dxa"/>
        </w:tblCellMar>
      </w:tblPr>
      <w:tblGrid>
        <w:gridCol w:w="868"/>
        <w:gridCol w:w="1003"/>
        <w:gridCol w:w="737"/>
        <w:gridCol w:w="645"/>
        <w:gridCol w:w="744"/>
        <w:gridCol w:w="554"/>
        <w:gridCol w:w="567"/>
        <w:gridCol w:w="411"/>
        <w:gridCol w:w="298"/>
        <w:gridCol w:w="1276"/>
        <w:gridCol w:w="1997"/>
      </w:tblGrid>
      <w:tr>
        <w:tblPrEx>
          <w:tblCellMar>
            <w:top w:w="0" w:type="dxa"/>
            <w:left w:w="28" w:type="dxa"/>
            <w:bottom w:w="0" w:type="dxa"/>
            <w:right w:w="28" w:type="dxa"/>
          </w:tblCellMar>
        </w:tblPrEx>
        <w:trPr>
          <w:cantSplit/>
          <w:jc w:val="center"/>
        </w:trPr>
        <w:tc>
          <w:tcPr>
            <w:tcW w:w="9100" w:type="dxa"/>
            <w:gridSpan w:val="11"/>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一般情况</w:t>
            </w:r>
          </w:p>
        </w:tc>
      </w:tr>
      <w:tr>
        <w:tblPrEx>
          <w:tblCellMar>
            <w:top w:w="0" w:type="dxa"/>
            <w:left w:w="28" w:type="dxa"/>
            <w:bottom w:w="0" w:type="dxa"/>
            <w:right w:w="28" w:type="dxa"/>
          </w:tblCellMar>
        </w:tblPrEx>
        <w:trPr>
          <w:cantSplit/>
          <w:jc w:val="center"/>
        </w:trPr>
        <w:tc>
          <w:tcPr>
            <w:tcW w:w="86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姓名</w:t>
            </w:r>
          </w:p>
        </w:tc>
        <w:tc>
          <w:tcPr>
            <w:tcW w:w="1003" w:type="dxa"/>
            <w:tcBorders>
              <w:top w:val="single" w:color="auto" w:sz="6" w:space="0"/>
              <w:left w:val="single" w:color="auto" w:sz="6" w:space="0"/>
              <w:bottom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c>
          <w:tcPr>
            <w:tcW w:w="73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性别</w:t>
            </w:r>
          </w:p>
        </w:tc>
        <w:tc>
          <w:tcPr>
            <w:tcW w:w="645" w:type="dxa"/>
            <w:tcBorders>
              <w:top w:val="single" w:color="auto" w:sz="6" w:space="0"/>
              <w:left w:val="single" w:color="auto" w:sz="6" w:space="0"/>
              <w:bottom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c>
          <w:tcPr>
            <w:tcW w:w="74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年龄</w:t>
            </w:r>
          </w:p>
        </w:tc>
        <w:tc>
          <w:tcPr>
            <w:tcW w:w="554" w:type="dxa"/>
            <w:tcBorders>
              <w:top w:val="single" w:color="auto" w:sz="6" w:space="0"/>
              <w:left w:val="single" w:color="auto" w:sz="6" w:space="0"/>
              <w:bottom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学位</w:t>
            </w:r>
          </w:p>
        </w:tc>
        <w:tc>
          <w:tcPr>
            <w:tcW w:w="709" w:type="dxa"/>
            <w:gridSpan w:val="2"/>
            <w:tcBorders>
              <w:top w:val="single" w:color="auto" w:sz="6" w:space="0"/>
              <w:left w:val="single" w:color="auto" w:sz="6" w:space="0"/>
              <w:bottom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身份证号码</w:t>
            </w:r>
          </w:p>
        </w:tc>
        <w:tc>
          <w:tcPr>
            <w:tcW w:w="1997" w:type="dxa"/>
            <w:tcBorders>
              <w:top w:val="single" w:color="auto" w:sz="6" w:space="0"/>
              <w:left w:val="single" w:color="auto" w:sz="6" w:space="0"/>
              <w:bottom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r>
      <w:tr>
        <w:tblPrEx>
          <w:tblCellMar>
            <w:top w:w="0" w:type="dxa"/>
            <w:left w:w="28" w:type="dxa"/>
            <w:bottom w:w="0" w:type="dxa"/>
            <w:right w:w="28" w:type="dxa"/>
          </w:tblCellMar>
        </w:tblPrEx>
        <w:trPr>
          <w:cantSplit/>
          <w:jc w:val="center"/>
        </w:trPr>
        <w:tc>
          <w:tcPr>
            <w:tcW w:w="868" w:type="dxa"/>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职称</w:t>
            </w:r>
          </w:p>
        </w:tc>
        <w:tc>
          <w:tcPr>
            <w:tcW w:w="1003" w:type="dxa"/>
            <w:tcBorders>
              <w:top w:val="single" w:color="auto" w:sz="6" w:space="0"/>
              <w:left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c>
          <w:tcPr>
            <w:tcW w:w="2126" w:type="dxa"/>
            <w:gridSpan w:val="3"/>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为</w:t>
            </w:r>
            <w:r>
              <w:rPr>
                <w:rFonts w:hint="eastAsia" w:ascii="宋体" w:hAnsi="宋体" w:cs="宋体"/>
                <w:color w:val="000000" w:themeColor="text1"/>
                <w:szCs w:val="21"/>
                <w:highlight w:val="none"/>
                <w:lang w:val="en-US"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服务时间</w:t>
            </w:r>
          </w:p>
        </w:tc>
        <w:tc>
          <w:tcPr>
            <w:tcW w:w="1121" w:type="dxa"/>
            <w:gridSpan w:val="2"/>
            <w:tcBorders>
              <w:top w:val="single" w:color="auto" w:sz="6" w:space="0"/>
              <w:left w:val="single" w:color="auto" w:sz="6" w:space="0"/>
              <w:right w:val="single" w:color="auto" w:sz="6" w:space="0"/>
            </w:tcBorders>
            <w:noWrap w:val="0"/>
            <w:vAlign w:val="center"/>
          </w:tcPr>
          <w:p>
            <w:pPr>
              <w:keepNext/>
              <w:keepLines/>
              <w:widowControl/>
              <w:numPr>
                <w:ilvl w:val="2"/>
                <w:numId w:val="9"/>
              </w:numPr>
              <w:autoSpaceDE w:val="0"/>
              <w:autoSpaceDN w:val="0"/>
              <w:spacing w:before="120" w:after="120" w:line="360" w:lineRule="atLeast"/>
              <w:jc w:val="center"/>
              <w:textAlignment w:val="bottom"/>
              <w:outlineLvl w:val="2"/>
              <w:rPr>
                <w:rFonts w:hint="eastAsia" w:ascii="宋体" w:hAnsi="宋体" w:cs="宋体"/>
                <w:color w:val="000000" w:themeColor="text1"/>
                <w:szCs w:val="21"/>
                <w:highlight w:val="none"/>
                <w14:textFill>
                  <w14:solidFill>
                    <w14:schemeClr w14:val="tx1"/>
                  </w14:solidFill>
                </w14:textFill>
              </w:rPr>
            </w:pPr>
          </w:p>
        </w:tc>
        <w:tc>
          <w:tcPr>
            <w:tcW w:w="1985" w:type="dxa"/>
            <w:gridSpan w:val="3"/>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在本合同中拟任职</w:t>
            </w:r>
          </w:p>
        </w:tc>
        <w:tc>
          <w:tcPr>
            <w:tcW w:w="1997" w:type="dxa"/>
            <w:tcBorders>
              <w:top w:val="single" w:color="auto" w:sz="6" w:space="0"/>
              <w:left w:val="single" w:color="auto" w:sz="6" w:space="0"/>
              <w:right w:val="single" w:color="auto" w:sz="6" w:space="0"/>
            </w:tcBorders>
            <w:noWrap w:val="0"/>
            <w:vAlign w:val="center"/>
          </w:tcPr>
          <w:p>
            <w:pPr>
              <w:keepNext/>
              <w:keepLines/>
              <w:widowControl/>
              <w:autoSpaceDE w:val="0"/>
              <w:autoSpaceDN w:val="0"/>
              <w:spacing w:before="340" w:after="330" w:line="360" w:lineRule="atLeast"/>
              <w:jc w:val="center"/>
              <w:textAlignment w:val="bottom"/>
              <w:outlineLvl w:val="0"/>
              <w:rPr>
                <w:rFonts w:hint="eastAsia" w:ascii="宋体" w:hAnsi="宋体" w:cs="宋体"/>
                <w:color w:val="000000" w:themeColor="text1"/>
                <w:szCs w:val="21"/>
                <w:highlight w:val="none"/>
                <w14:textFill>
                  <w14:solidFill>
                    <w14:schemeClr w14:val="tx1"/>
                  </w14:solidFill>
                </w14:textFill>
              </w:rPr>
            </w:pPr>
          </w:p>
        </w:tc>
      </w:tr>
      <w:tr>
        <w:tblPrEx>
          <w:tblCellMar>
            <w:top w:w="0" w:type="dxa"/>
            <w:left w:w="28" w:type="dxa"/>
            <w:bottom w:w="0" w:type="dxa"/>
            <w:right w:w="28" w:type="dxa"/>
          </w:tblCellMar>
        </w:tblPrEx>
        <w:trPr>
          <w:cantSplit/>
          <w:jc w:val="center"/>
        </w:trPr>
        <w:tc>
          <w:tcPr>
            <w:tcW w:w="868" w:type="dxa"/>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学历</w:t>
            </w:r>
          </w:p>
        </w:tc>
        <w:tc>
          <w:tcPr>
            <w:tcW w:w="8232" w:type="dxa"/>
            <w:gridSpan w:val="10"/>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年毕业于               （学校）             （专业）</w:t>
            </w:r>
          </w:p>
        </w:tc>
      </w:tr>
      <w:tr>
        <w:tblPrEx>
          <w:tblCellMar>
            <w:top w:w="0" w:type="dxa"/>
            <w:left w:w="28" w:type="dxa"/>
            <w:bottom w:w="0" w:type="dxa"/>
            <w:right w:w="28" w:type="dxa"/>
          </w:tblCellMar>
        </w:tblPrEx>
        <w:trPr>
          <w:cantSplit/>
          <w:jc w:val="center"/>
        </w:trPr>
        <w:tc>
          <w:tcPr>
            <w:tcW w:w="9100" w:type="dxa"/>
            <w:gridSpan w:val="11"/>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经历</w:t>
            </w:r>
          </w:p>
        </w:tc>
      </w:tr>
      <w:tr>
        <w:tblPrEx>
          <w:tblCellMar>
            <w:top w:w="0" w:type="dxa"/>
            <w:left w:w="28" w:type="dxa"/>
            <w:bottom w:w="0" w:type="dxa"/>
            <w:right w:w="28" w:type="dxa"/>
          </w:tblCellMar>
        </w:tblPrEx>
        <w:trPr>
          <w:cantSplit/>
          <w:jc w:val="center"/>
        </w:trPr>
        <w:tc>
          <w:tcPr>
            <w:tcW w:w="868" w:type="dxa"/>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p>
        </w:tc>
        <w:tc>
          <w:tcPr>
            <w:tcW w:w="4661" w:type="dxa"/>
            <w:gridSpan w:val="7"/>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负责过的主要</w:t>
            </w:r>
            <w:r>
              <w:rPr>
                <w:rFonts w:hint="eastAsia" w:ascii="宋体" w:hAnsi="宋体" w:cs="宋体"/>
                <w:color w:val="000000" w:themeColor="text1"/>
                <w:szCs w:val="21"/>
                <w:highlight w:val="none"/>
                <w:lang w:val="en-US" w:eastAsia="zh-CN"/>
                <w14:textFill>
                  <w14:solidFill>
                    <w14:schemeClr w14:val="tx1"/>
                  </w14:solidFill>
                </w14:textFill>
              </w:rPr>
              <w:t>项目</w:t>
            </w:r>
            <w:r>
              <w:rPr>
                <w:rFonts w:hint="eastAsia" w:ascii="宋体" w:hAnsi="宋体" w:cs="宋体"/>
                <w:color w:val="000000" w:themeColor="text1"/>
                <w:szCs w:val="21"/>
                <w:highlight w:val="none"/>
                <w14:textFill>
                  <w14:solidFill>
                    <w14:schemeClr w14:val="tx1"/>
                  </w14:solidFill>
                </w14:textFill>
              </w:rPr>
              <w:t>（类型和金额）</w:t>
            </w:r>
          </w:p>
        </w:tc>
        <w:tc>
          <w:tcPr>
            <w:tcW w:w="1574" w:type="dxa"/>
            <w:gridSpan w:val="2"/>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该项目中任职</w:t>
            </w:r>
          </w:p>
        </w:tc>
        <w:tc>
          <w:tcPr>
            <w:tcW w:w="1997" w:type="dxa"/>
            <w:tcBorders>
              <w:top w:val="single" w:color="auto" w:sz="6" w:space="0"/>
              <w:left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发包人及联系电话</w:t>
            </w:r>
          </w:p>
        </w:tc>
      </w:tr>
      <w:tr>
        <w:tblPrEx>
          <w:tblCellMar>
            <w:top w:w="0" w:type="dxa"/>
            <w:left w:w="28" w:type="dxa"/>
            <w:bottom w:w="0" w:type="dxa"/>
            <w:right w:w="28" w:type="dxa"/>
          </w:tblCellMar>
        </w:tblPrEx>
        <w:trPr>
          <w:cantSplit/>
          <w:trHeight w:val="957" w:hRule="atLeast"/>
          <w:jc w:val="center"/>
        </w:trPr>
        <w:tc>
          <w:tcPr>
            <w:tcW w:w="86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tc>
        <w:tc>
          <w:tcPr>
            <w:tcW w:w="4661" w:type="dxa"/>
            <w:gridSpan w:val="7"/>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both"/>
              <w:textAlignment w:val="bottom"/>
              <w:rPr>
                <w:rFonts w:hint="eastAsia" w:ascii="宋体" w:hAnsi="宋体" w:cs="宋体"/>
                <w:color w:val="000000" w:themeColor="text1"/>
                <w:szCs w:val="21"/>
                <w:highlight w:val="none"/>
                <w14:textFill>
                  <w14:solidFill>
                    <w14:schemeClr w14:val="tx1"/>
                  </w14:solidFill>
                </w14:textFill>
              </w:rPr>
            </w:pPr>
          </w:p>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tc>
        <w:tc>
          <w:tcPr>
            <w:tcW w:w="1574" w:type="dxa"/>
            <w:gridSpan w:val="2"/>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tc>
        <w:tc>
          <w:tcPr>
            <w:tcW w:w="199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tc>
      </w:tr>
      <w:tr>
        <w:tblPrEx>
          <w:tblCellMar>
            <w:top w:w="0" w:type="dxa"/>
            <w:left w:w="28" w:type="dxa"/>
            <w:bottom w:w="0" w:type="dxa"/>
            <w:right w:w="28" w:type="dxa"/>
          </w:tblCellMar>
        </w:tblPrEx>
        <w:trPr>
          <w:cantSplit/>
          <w:jc w:val="center"/>
        </w:trPr>
        <w:tc>
          <w:tcPr>
            <w:tcW w:w="9100" w:type="dxa"/>
            <w:gridSpan w:val="11"/>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获奖情况</w:t>
            </w:r>
          </w:p>
        </w:tc>
      </w:tr>
      <w:tr>
        <w:tblPrEx>
          <w:tblCellMar>
            <w:top w:w="0" w:type="dxa"/>
            <w:left w:w="28" w:type="dxa"/>
            <w:bottom w:w="0" w:type="dxa"/>
            <w:right w:w="28" w:type="dxa"/>
          </w:tblCellMar>
        </w:tblPrEx>
        <w:trPr>
          <w:cantSplit/>
          <w:trHeight w:val="90" w:hRule="atLeast"/>
          <w:jc w:val="center"/>
        </w:trPr>
        <w:tc>
          <w:tcPr>
            <w:tcW w:w="9100" w:type="dxa"/>
            <w:gridSpan w:val="11"/>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p>
            <w:pPr>
              <w:widowControl/>
              <w:autoSpaceDE w:val="0"/>
              <w:autoSpaceDN w:val="0"/>
              <w:spacing w:line="360" w:lineRule="atLeast"/>
              <w:jc w:val="both"/>
              <w:textAlignment w:val="bottom"/>
              <w:rPr>
                <w:rFonts w:hint="eastAsia" w:ascii="宋体" w:hAnsi="宋体" w:cs="宋体"/>
                <w:color w:val="000000" w:themeColor="text1"/>
                <w:szCs w:val="21"/>
                <w:highlight w:val="none"/>
                <w14:textFill>
                  <w14:solidFill>
                    <w14:schemeClr w14:val="tx1"/>
                  </w14:solidFill>
                </w14:textFill>
              </w:rPr>
            </w:pPr>
          </w:p>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tc>
      </w:tr>
      <w:tr>
        <w:tblPrEx>
          <w:tblCellMar>
            <w:top w:w="0" w:type="dxa"/>
            <w:left w:w="28" w:type="dxa"/>
            <w:bottom w:w="0" w:type="dxa"/>
            <w:right w:w="28" w:type="dxa"/>
          </w:tblCellMar>
        </w:tblPrEx>
        <w:trPr>
          <w:cantSplit/>
          <w:jc w:val="center"/>
        </w:trPr>
        <w:tc>
          <w:tcPr>
            <w:tcW w:w="9100" w:type="dxa"/>
            <w:gridSpan w:val="11"/>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目前承担的任务</w:t>
            </w:r>
          </w:p>
        </w:tc>
      </w:tr>
      <w:tr>
        <w:tblPrEx>
          <w:tblCellMar>
            <w:top w:w="0" w:type="dxa"/>
            <w:left w:w="28" w:type="dxa"/>
            <w:bottom w:w="0" w:type="dxa"/>
            <w:right w:w="28" w:type="dxa"/>
          </w:tblCellMar>
        </w:tblPrEx>
        <w:trPr>
          <w:cantSplit/>
          <w:trHeight w:val="1509" w:hRule="atLeast"/>
          <w:jc w:val="center"/>
        </w:trPr>
        <w:tc>
          <w:tcPr>
            <w:tcW w:w="9100" w:type="dxa"/>
            <w:gridSpan w:val="11"/>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360" w:lineRule="atLeast"/>
              <w:jc w:val="both"/>
              <w:textAlignment w:val="bottom"/>
              <w:rPr>
                <w:rFonts w:hint="eastAsia" w:ascii="宋体" w:hAnsi="宋体" w:cs="宋体"/>
                <w:color w:val="000000" w:themeColor="text1"/>
                <w:szCs w:val="21"/>
                <w:highlight w:val="none"/>
                <w14:textFill>
                  <w14:solidFill>
                    <w14:schemeClr w14:val="tx1"/>
                  </w14:solidFill>
                </w14:textFill>
              </w:rPr>
            </w:pPr>
          </w:p>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p>
            <w:pPr>
              <w:widowControl/>
              <w:autoSpaceDE w:val="0"/>
              <w:autoSpaceDN w:val="0"/>
              <w:spacing w:line="360" w:lineRule="atLeast"/>
              <w:jc w:val="center"/>
              <w:textAlignment w:val="bottom"/>
              <w:rPr>
                <w:rFonts w:hint="eastAsia" w:ascii="宋体" w:hAnsi="宋体" w:cs="宋体"/>
                <w:color w:val="000000" w:themeColor="text1"/>
                <w:szCs w:val="21"/>
                <w:highlight w:val="none"/>
                <w14:textFill>
                  <w14:solidFill>
                    <w14:schemeClr w14:val="tx1"/>
                  </w14:solidFill>
                </w14:textFill>
              </w:rPr>
            </w:pPr>
          </w:p>
        </w:tc>
      </w:tr>
    </w:tbl>
    <w:p>
      <w:pPr>
        <w:snapToGrid w:val="0"/>
        <w:spacing w:line="240" w:lineRule="auto"/>
        <w:ind w:right="125" w:rightChars="52"/>
        <w:rPr>
          <w:rFonts w:eastAsia="楷体_GB2312"/>
          <w:b w:val="0"/>
          <w:bCs/>
          <w:color w:val="000000" w:themeColor="text1"/>
          <w:highlight w:val="none"/>
          <w14:textFill>
            <w14:solidFill>
              <w14:schemeClr w14:val="tx1"/>
            </w14:solidFill>
          </w14:textFill>
        </w:rPr>
      </w:pPr>
      <w:r>
        <w:rPr>
          <w:rFonts w:eastAsia="楷体_GB2312"/>
          <w:b w:val="0"/>
          <w:bCs/>
          <w:color w:val="000000" w:themeColor="text1"/>
          <w:highlight w:val="none"/>
          <w14:textFill>
            <w14:solidFill>
              <w14:schemeClr w14:val="tx1"/>
            </w14:solidFill>
          </w14:textFill>
        </w:rPr>
        <w:t>1.身份证的复印件</w:t>
      </w:r>
      <w:r>
        <w:rPr>
          <w:rFonts w:hint="eastAsia" w:eastAsia="楷体_GB2312"/>
          <w:b w:val="0"/>
          <w:bCs/>
          <w:color w:val="000000" w:themeColor="text1"/>
          <w:highlight w:val="none"/>
          <w14:textFill>
            <w14:solidFill>
              <w14:schemeClr w14:val="tx1"/>
            </w14:solidFill>
          </w14:textFill>
        </w:rPr>
        <w:t>。</w:t>
      </w:r>
    </w:p>
    <w:p>
      <w:pPr>
        <w:snapToGrid w:val="0"/>
        <w:spacing w:line="240" w:lineRule="auto"/>
        <w:ind w:right="125" w:rightChars="52"/>
        <w:rPr>
          <w:rFonts w:hint="eastAsia" w:eastAsia="楷体_GB2312"/>
          <w:b w:val="0"/>
          <w:bCs/>
          <w:color w:val="000000" w:themeColor="text1"/>
          <w:highlight w:val="none"/>
          <w:lang w:val="en-US" w:eastAsia="zh-CN"/>
          <w14:textFill>
            <w14:solidFill>
              <w14:schemeClr w14:val="tx1"/>
            </w14:solidFill>
          </w14:textFill>
        </w:rPr>
      </w:pPr>
      <w:r>
        <w:rPr>
          <w:rFonts w:eastAsia="楷体_GB2312"/>
          <w:b w:val="0"/>
          <w:bCs/>
          <w:color w:val="000000" w:themeColor="text1"/>
          <w:highlight w:val="none"/>
          <w14:textFill>
            <w14:solidFill>
              <w14:schemeClr w14:val="tx1"/>
            </w14:solidFill>
          </w14:textFill>
        </w:rPr>
        <w:t>2.</w:t>
      </w:r>
      <w:r>
        <w:rPr>
          <w:rFonts w:hint="eastAsia" w:eastAsia="楷体_GB2312"/>
          <w:b w:val="0"/>
          <w:bCs/>
          <w:color w:val="000000" w:themeColor="text1"/>
          <w:highlight w:val="none"/>
          <w:lang w:val="en-US" w:eastAsia="zh-CN"/>
          <w14:textFill>
            <w14:solidFill>
              <w14:schemeClr w14:val="tx1"/>
            </w14:solidFill>
          </w14:textFill>
        </w:rPr>
        <w:t>具有计算机技术与软件专业技术资格（水平）考试中级及以上资格证书。</w:t>
      </w:r>
    </w:p>
    <w:p>
      <w:pPr>
        <w:snapToGrid w:val="0"/>
        <w:spacing w:line="240" w:lineRule="auto"/>
        <w:ind w:right="125" w:rightChars="52"/>
        <w:rPr>
          <w:rFonts w:hint="eastAsia" w:eastAsia="楷体_GB2312"/>
          <w:b w:val="0"/>
          <w:bCs/>
          <w:color w:val="000000" w:themeColor="text1"/>
          <w:highlight w:val="none"/>
          <w:lang w:eastAsia="zh-CN"/>
          <w14:textFill>
            <w14:solidFill>
              <w14:schemeClr w14:val="tx1"/>
            </w14:solidFill>
          </w14:textFill>
        </w:rPr>
      </w:pPr>
      <w:r>
        <w:rPr>
          <w:rFonts w:hint="eastAsia" w:eastAsia="楷体_GB2312"/>
          <w:b w:val="0"/>
          <w:bCs/>
          <w:color w:val="000000" w:themeColor="text1"/>
          <w:highlight w:val="none"/>
          <w14:textFill>
            <w14:solidFill>
              <w14:schemeClr w14:val="tx1"/>
            </w14:solidFill>
          </w14:textFill>
        </w:rPr>
        <w:t>（①中级：网络工程师、系统集成项目管理工程师、数据库系统工程师、信息系统管理工程师、信息安全工程师、信息技术支持工程师等。②高级：信息系统项目管理师、网络规划设计师、系统架构设计师、系统分析师、系统规划与管理师等。）</w:t>
      </w:r>
    </w:p>
    <w:p>
      <w:pPr>
        <w:snapToGrid w:val="0"/>
        <w:spacing w:line="240" w:lineRule="auto"/>
        <w:ind w:right="125" w:rightChars="52"/>
        <w:rPr>
          <w:rFonts w:hint="eastAsia" w:eastAsia="楷体_GB2312"/>
          <w:b w:val="0"/>
          <w:bCs/>
          <w:color w:val="000000" w:themeColor="text1"/>
          <w:highlight w:val="none"/>
          <w:lang w:eastAsia="zh-CN"/>
          <w14:textFill>
            <w14:solidFill>
              <w14:schemeClr w14:val="tx1"/>
            </w14:solidFill>
          </w14:textFill>
        </w:rPr>
      </w:pPr>
      <w:r>
        <w:rPr>
          <w:rFonts w:hint="eastAsia" w:eastAsia="楷体_GB2312"/>
          <w:b w:val="0"/>
          <w:bCs/>
          <w:color w:val="000000" w:themeColor="text1"/>
          <w:highlight w:val="none"/>
          <w:lang w:val="en-US" w:eastAsia="zh-CN"/>
          <w14:textFill>
            <w14:solidFill>
              <w14:schemeClr w14:val="tx1"/>
            </w14:solidFill>
          </w14:textFill>
        </w:rPr>
        <w:t>3.</w:t>
      </w:r>
      <w:r>
        <w:rPr>
          <w:rFonts w:hint="eastAsia" w:eastAsia="楷体_GB2312"/>
          <w:b w:val="0"/>
          <w:bCs/>
          <w:color w:val="000000" w:themeColor="text1"/>
          <w:highlight w:val="none"/>
          <w:lang w:eastAsia="zh-CN"/>
          <w14:textFill>
            <w14:solidFill>
              <w14:schemeClr w14:val="tx1"/>
            </w14:solidFill>
          </w14:textFill>
        </w:rPr>
        <w:t>如</w:t>
      </w:r>
      <w:r>
        <w:rPr>
          <w:rFonts w:hint="eastAsia" w:eastAsia="楷体_GB2312"/>
          <w:b w:val="0"/>
          <w:bCs/>
          <w:color w:val="000000" w:themeColor="text1"/>
          <w:highlight w:val="none"/>
          <w:lang w:val="en-US" w:eastAsia="zh-CN"/>
          <w14:textFill>
            <w14:solidFill>
              <w14:schemeClr w14:val="tx1"/>
            </w14:solidFill>
          </w14:textFill>
        </w:rPr>
        <w:t>项目负责人</w:t>
      </w:r>
      <w:r>
        <w:rPr>
          <w:rFonts w:hint="eastAsia" w:eastAsia="楷体_GB2312"/>
          <w:b w:val="0"/>
          <w:bCs/>
          <w:color w:val="000000" w:themeColor="text1"/>
          <w:highlight w:val="none"/>
          <w:lang w:eastAsia="zh-CN"/>
          <w14:textFill>
            <w14:solidFill>
              <w14:schemeClr w14:val="tx1"/>
            </w14:solidFill>
          </w14:textFill>
        </w:rPr>
        <w:t>目前仍在其他项目上任职，则供应商应提供该承诺上述人员能从该项目撤离的书面证明材料。</w:t>
      </w:r>
    </w:p>
    <w:p>
      <w:pPr>
        <w:snapToGrid w:val="0"/>
        <w:spacing w:line="240" w:lineRule="auto"/>
        <w:ind w:right="125" w:rightChars="5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br w:type="page"/>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color w:val="000000" w:themeColor="text1"/>
          <w:sz w:val="24"/>
          <w:szCs w:val="24"/>
          <w:highlight w:val="none"/>
          <w14:textFill>
            <w14:solidFill>
              <w14:schemeClr w14:val="tx1"/>
            </w14:solidFill>
          </w14:textFill>
        </w:rPr>
        <w:t>) 供应商的信誉情况承诺</w:t>
      </w:r>
    </w:p>
    <w:p>
      <w:pPr>
        <w:adjustRightInd w:val="0"/>
        <w:snapToGrid w:val="0"/>
        <w:spacing w:line="360" w:lineRule="auto"/>
        <w:contextualSpacing/>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p>
      <w:pPr>
        <w:pStyle w:val="29"/>
        <w:adjustRightInd w:val="0"/>
        <w:snapToGrid w:val="0"/>
        <w:spacing w:line="360" w:lineRule="auto"/>
        <w:ind w:left="0" w:right="0" w:firstLine="482" w:firstLineChars="200"/>
        <w:jc w:val="center"/>
        <w:outlineLvl w:val="9"/>
        <w:rPr>
          <w:rFonts w:hint="eastAsia" w:ascii="宋体" w:hAnsi="宋体" w:eastAsia="宋体" w:cs="宋体"/>
          <w:color w:val="000000" w:themeColor="text1"/>
          <w:kern w:val="2"/>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承诺书</w:t>
      </w:r>
    </w:p>
    <w:p>
      <w:pPr>
        <w:pStyle w:val="14"/>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安徽省驿达高速公路服务区经营管理有限公司</w:t>
      </w:r>
      <w:r>
        <w:rPr>
          <w:rFonts w:hint="eastAsia" w:ascii="宋体" w:hAnsi="宋体" w:eastAsia="宋体" w:cs="宋体"/>
          <w:color w:val="000000" w:themeColor="text1"/>
          <w:sz w:val="24"/>
          <w:szCs w:val="24"/>
          <w:highlight w:val="none"/>
          <w14:textFill>
            <w14:solidFill>
              <w14:schemeClr w14:val="tx1"/>
            </w14:solidFill>
          </w14:textFill>
        </w:rPr>
        <w:t>：</w:t>
      </w:r>
    </w:p>
    <w:p>
      <w:pPr>
        <w:pStyle w:val="20"/>
        <w:adjustRightInd w:val="0"/>
        <w:snapToGrid w:val="0"/>
        <w:spacing w:before="0" w:beforeAutospacing="0" w:after="0" w:afterAutospacing="0" w:line="360" w:lineRule="auto"/>
        <w:ind w:firstLine="480" w:firstLineChars="200"/>
        <w:textAlignment w:val="baseline"/>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我方具备本次询比文件中要求的信誉要求，我方没有被责令停业，暂扣或吊销执照，或吊销资质证书；没有进入清算程序，或被宣告破产，或其他丧失履约能力的情形；没有在国家企业信用信息公示系统中被列入严重违法失信企业名单（http://www.gsxt.gov.cn）；没有</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"http://www.creditchina.gov.cn/"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kern w:val="2"/>
          <w:sz w:val="24"/>
          <w:szCs w:val="24"/>
          <w:highlight w:val="none"/>
          <w14:textFill>
            <w14:solidFill>
              <w14:schemeClr w14:val="tx1"/>
            </w14:solidFill>
          </w14:textFill>
        </w:rPr>
        <w:t>在“信用中国”网站中被列入失信被执行人名单（http://w</w:t>
      </w:r>
      <w:r>
        <w:rPr>
          <w:rFonts w:hint="eastAsia" w:ascii="宋体" w:hAnsi="宋体" w:eastAsia="宋体" w:cs="宋体"/>
          <w:color w:val="000000" w:themeColor="text1"/>
          <w:kern w:val="2"/>
          <w:sz w:val="24"/>
          <w:szCs w:val="24"/>
          <w:highlight w:val="none"/>
          <w14:textFill>
            <w14:solidFill>
              <w14:schemeClr w14:val="tx1"/>
            </w14:solidFill>
          </w14:textFill>
        </w:rPr>
        <w:fldChar w:fldCharType="end"/>
      </w:r>
      <w:r>
        <w:rPr>
          <w:rFonts w:hint="eastAsia" w:ascii="宋体" w:hAnsi="宋体" w:eastAsia="宋体" w:cs="宋体"/>
          <w:color w:val="000000" w:themeColor="text1"/>
          <w:kern w:val="2"/>
          <w:sz w:val="24"/>
          <w:szCs w:val="24"/>
          <w:highlight w:val="none"/>
          <w14:textFill>
            <w14:solidFill>
              <w14:schemeClr w14:val="tx1"/>
            </w14:solidFill>
          </w14:textFill>
        </w:rPr>
        <w:t>w</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"http://www.creditchina.gov.cn/"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kern w:val="2"/>
          <w:sz w:val="24"/>
          <w:szCs w:val="24"/>
          <w:highlight w:val="none"/>
          <w14:textFill>
            <w14:solidFill>
              <w14:schemeClr w14:val="tx1"/>
            </w14:solidFill>
          </w14:textFill>
        </w:rPr>
        <w:t>w.creditchina.gov.c</w:t>
      </w:r>
      <w:r>
        <w:rPr>
          <w:rFonts w:hint="eastAsia" w:ascii="宋体" w:hAnsi="宋体" w:eastAsia="宋体" w:cs="宋体"/>
          <w:color w:val="000000" w:themeColor="text1"/>
          <w:kern w:val="2"/>
          <w:sz w:val="24"/>
          <w:szCs w:val="24"/>
          <w:highlight w:val="none"/>
          <w14:textFill>
            <w14:solidFill>
              <w14:schemeClr w14:val="tx1"/>
            </w14:solidFill>
          </w14:textFill>
        </w:rPr>
        <w:fldChar w:fldCharType="end"/>
      </w:r>
      <w:r>
        <w:rPr>
          <w:rFonts w:hint="eastAsia" w:ascii="宋体" w:hAnsi="宋体" w:eastAsia="宋体" w:cs="宋体"/>
          <w:color w:val="000000" w:themeColor="text1"/>
          <w:kern w:val="2"/>
          <w:sz w:val="24"/>
          <w:szCs w:val="24"/>
          <w:highlight w:val="none"/>
          <w14:textFill>
            <w14:solidFill>
              <w14:schemeClr w14:val="tx1"/>
            </w14:solidFill>
          </w14:textFill>
        </w:rPr>
        <w:t>n）；供应商法定代表人和</w:t>
      </w:r>
      <w:r>
        <w:rPr>
          <w:rFonts w:hint="eastAsia" w:cs="宋体"/>
          <w:color w:val="000000" w:themeColor="text1"/>
          <w:kern w:val="2"/>
          <w:sz w:val="24"/>
          <w:szCs w:val="24"/>
          <w:highlight w:val="none"/>
          <w:lang w:val="en-US" w:eastAsia="zh-CN"/>
          <w14:textFill>
            <w14:solidFill>
              <w14:schemeClr w14:val="tx1"/>
            </w14:solidFill>
          </w14:textFill>
        </w:rPr>
        <w:t>项目负责人</w:t>
      </w:r>
      <w:r>
        <w:rPr>
          <w:rFonts w:hint="eastAsia" w:ascii="宋体" w:hAnsi="宋体" w:eastAsia="宋体" w:cs="宋体"/>
          <w:color w:val="000000" w:themeColor="text1"/>
          <w:kern w:val="2"/>
          <w:sz w:val="24"/>
          <w:szCs w:val="24"/>
          <w:highlight w:val="none"/>
          <w14:textFill>
            <w14:solidFill>
              <w14:schemeClr w14:val="tx1"/>
            </w14:solidFill>
          </w14:textFill>
        </w:rPr>
        <w:t>近3年（201</w:t>
      </w:r>
      <w:r>
        <w:rPr>
          <w:rFonts w:hint="eastAsia" w:cs="宋体"/>
          <w:color w:val="000000" w:themeColor="text1"/>
          <w:kern w:val="2"/>
          <w:sz w:val="24"/>
          <w:szCs w:val="24"/>
          <w:highlight w:val="none"/>
          <w:lang w:val="en-US" w:eastAsia="zh-CN"/>
          <w14:textFill>
            <w14:solidFill>
              <w14:schemeClr w14:val="tx1"/>
            </w14:solidFill>
          </w14:textFill>
        </w:rPr>
        <w:t>7</w:t>
      </w:r>
      <w:r>
        <w:rPr>
          <w:rFonts w:hint="eastAsia" w:ascii="宋体" w:hAnsi="宋体" w:eastAsia="宋体" w:cs="宋体"/>
          <w:color w:val="000000" w:themeColor="text1"/>
          <w:kern w:val="2"/>
          <w:sz w:val="24"/>
          <w:szCs w:val="24"/>
          <w:highlight w:val="none"/>
          <w14:textFill>
            <w14:solidFill>
              <w14:schemeClr w14:val="tx1"/>
            </w14:solidFill>
          </w14:textFill>
        </w:rPr>
        <w:t>年1月至今）内无行贿犯罪行为记录；没有法律法规规定的其他情形。</w:t>
      </w:r>
    </w:p>
    <w:p>
      <w:pPr>
        <w:tabs>
          <w:tab w:val="left" w:pos="-168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我们在此申明：上述承诺如有虚假，我方对此负法律责任。</w:t>
      </w:r>
    </w:p>
    <w:p>
      <w:pPr>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tabs>
          <w:tab w:val="left" w:pos="-1680"/>
        </w:tabs>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tabs>
          <w:tab w:val="left" w:pos="-1680"/>
        </w:tabs>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tabs>
          <w:tab w:val="left" w:pos="-1680"/>
        </w:tabs>
        <w:adjustRightInd w:val="0"/>
        <w:snapToGrid w:val="0"/>
        <w:spacing w:line="360" w:lineRule="auto"/>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供应商：（加盖公章）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tabs>
          <w:tab w:val="left" w:pos="-168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tabs>
          <w:tab w:val="left" w:pos="-1680"/>
        </w:tabs>
        <w:adjustRightInd w:val="0"/>
        <w:snapToGrid w:val="0"/>
        <w:spacing w:line="360" w:lineRule="auto"/>
        <w:ind w:firstLine="480" w:firstLineChars="20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法定代表人或其授权的代理人（签字）</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tabs>
          <w:tab w:val="left" w:pos="-1680"/>
        </w:tabs>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p>
      <w:pPr>
        <w:tabs>
          <w:tab w:val="left" w:pos="-1680"/>
        </w:tabs>
        <w:adjustRightInd w:val="0"/>
        <w:snapToGrid w:val="0"/>
        <w:spacing w:line="360" w:lineRule="auto"/>
        <w:ind w:firstLine="4320" w:firstLineChars="1800"/>
        <w:rPr>
          <w:rFonts w:hint="eastAsia" w:ascii="宋体" w:hAnsi="宋体" w:eastAsia="宋体" w:cs="宋体"/>
          <w:color w:val="000000" w:themeColor="text1"/>
          <w:sz w:val="24"/>
          <w:szCs w:val="24"/>
          <w:highlight w:val="none"/>
          <w14:textFill>
            <w14:solidFill>
              <w14:schemeClr w14:val="tx1"/>
            </w14:solidFill>
          </w14:textFill>
        </w:rPr>
      </w:pPr>
    </w:p>
    <w:p>
      <w:pPr>
        <w:tabs>
          <w:tab w:val="left" w:pos="-1680"/>
        </w:tabs>
        <w:adjustRightInd w:val="0"/>
        <w:snapToGrid w:val="0"/>
        <w:spacing w:line="360" w:lineRule="auto"/>
        <w:ind w:firstLine="4320" w:firstLineChars="18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adjustRightInd w:val="0"/>
        <w:snapToGrid w:val="0"/>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p>
    <w:p>
      <w:pPr>
        <w:keepNext/>
        <w:keepLines/>
        <w:adjustRightInd w:val="0"/>
        <w:snapToGrid w:val="0"/>
        <w:spacing w:line="360" w:lineRule="auto"/>
        <w:jc w:val="center"/>
        <w:outlineLvl w:val="1"/>
        <w:rPr>
          <w:rFonts w:hint="eastAsia" w:ascii="宋体" w:hAnsi="宋体" w:eastAsia="宋体" w:cs="宋体"/>
          <w:color w:val="000000" w:themeColor="text1"/>
          <w:sz w:val="24"/>
          <w:szCs w:val="24"/>
          <w:highlight w:val="none"/>
          <w14:textFill>
            <w14:solidFill>
              <w14:schemeClr w14:val="tx1"/>
            </w14:solidFill>
          </w14:textFill>
        </w:rPr>
        <w:sectPr>
          <w:pgSz w:w="11849" w:h="16781"/>
          <w:pgMar w:top="1134" w:right="1134" w:bottom="1134" w:left="1134" w:header="850" w:footer="992" w:gutter="0"/>
          <w:cols w:space="720" w:num="1"/>
          <w:titlePg/>
          <w:docGrid w:type="lines" w:linePitch="330" w:charSpace="0"/>
        </w:sectPr>
      </w:pP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、其他材料</w:t>
      </w:r>
    </w:p>
    <w:p>
      <w:pPr>
        <w:snapToGrid w:val="0"/>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供应商认为需要提供的相关资料</w:t>
      </w:r>
      <w:r>
        <w:rPr>
          <w:rFonts w:hint="eastAsia" w:ascii="宋体" w:hAnsi="宋体" w:cs="宋体"/>
          <w:color w:val="000000" w:themeColor="text1"/>
          <w:sz w:val="24"/>
          <w:szCs w:val="24"/>
          <w:highlight w:val="none"/>
          <w:lang w:eastAsia="zh-CN"/>
          <w14:textFill>
            <w14:solidFill>
              <w14:schemeClr w14:val="tx1"/>
            </w14:solidFill>
          </w14:textFill>
        </w:rPr>
        <w:t>。</w:t>
      </w:r>
    </w:p>
    <w:p>
      <w:pPr>
        <w:snapToGrid w:val="0"/>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如：软件著作权、获奖等</w:t>
      </w:r>
    </w:p>
    <w:p>
      <w:pPr>
        <w:ind w:firstLine="480" w:firstLineChars="200"/>
        <w:rPr>
          <w:color w:val="000000" w:themeColor="text1"/>
          <w:highlight w:val="none"/>
          <w14:textFill>
            <w14:solidFill>
              <w14:schemeClr w14:val="tx1"/>
            </w14:solidFill>
          </w14:textFill>
        </w:rPr>
      </w:pPr>
    </w:p>
    <w:bookmarkEnd w:id="107"/>
    <w:bookmarkEnd w:id="108"/>
    <w:bookmarkEnd w:id="109"/>
    <w:bookmarkEnd w:id="110"/>
    <w:bookmarkEnd w:id="111"/>
    <w:bookmarkEnd w:id="112"/>
    <w:p>
      <w:pPr>
        <w:spacing w:before="156" w:beforeLines="50"/>
        <w:rPr>
          <w:rFonts w:ascii="Times New Roman" w:hAnsi="Times New Roman"/>
          <w:bCs/>
          <w:color w:val="000000" w:themeColor="text1"/>
          <w:sz w:val="22"/>
          <w:szCs w:val="22"/>
          <w:highlight w:val="none"/>
          <w14:textFill>
            <w14:solidFill>
              <w14:schemeClr w14:val="tx1"/>
            </w14:solidFill>
          </w14:textFill>
        </w:rPr>
      </w:pPr>
    </w:p>
    <w:p>
      <w:pPr>
        <w:pStyle w:val="9"/>
        <w:outlineLvl w:val="3"/>
        <w:rPr>
          <w:rFonts w:hint="eastAsia"/>
          <w:color w:val="000000" w:themeColor="text1"/>
          <w:highlight w:val="none"/>
          <w14:textFill>
            <w14:solidFill>
              <w14:schemeClr w14:val="tx1"/>
            </w14:solidFill>
          </w14:textFill>
        </w:rPr>
      </w:pPr>
      <w:r>
        <w:rPr>
          <w:rFonts w:hint="eastAsia" w:cs="宋体"/>
          <w:color w:val="000000" w:themeColor="text1"/>
          <w:sz w:val="22"/>
          <w:szCs w:val="21"/>
          <w:highlight w:val="none"/>
          <w14:textFill>
            <w14:solidFill>
              <w14:schemeClr w14:val="tx1"/>
            </w14:solidFill>
          </w14:textFill>
        </w:rPr>
        <w:br w:type="page"/>
      </w:r>
    </w:p>
    <w:p>
      <w:pPr>
        <w:pStyle w:val="2"/>
        <w:rPr>
          <w:rFonts w:hint="eastAsia"/>
          <w:color w:val="000000" w:themeColor="text1"/>
          <w:highlight w:val="none"/>
          <w14:textFill>
            <w14:solidFill>
              <w14:schemeClr w14:val="tx1"/>
            </w14:solidFill>
          </w14:textFill>
        </w:rPr>
      </w:pPr>
    </w:p>
    <w:p>
      <w:pPr>
        <w:pStyle w:val="40"/>
        <w:ind w:firstLine="0" w:firstLineChars="0"/>
        <w:jc w:val="center"/>
        <w:rPr>
          <w:rFonts w:hint="eastAsia"/>
          <w:b/>
          <w:bCs/>
          <w:color w:val="000000" w:themeColor="text1"/>
          <w:sz w:val="44"/>
          <w:szCs w:val="32"/>
          <w:highlight w:val="none"/>
          <w14:textFill>
            <w14:solidFill>
              <w14:schemeClr w14:val="tx1"/>
            </w14:solidFill>
          </w14:textFill>
        </w:rPr>
      </w:pPr>
      <w:r>
        <w:rPr>
          <w:rFonts w:hint="eastAsia"/>
          <w:b/>
          <w:bCs/>
          <w:color w:val="000000" w:themeColor="text1"/>
          <w:sz w:val="44"/>
          <w:szCs w:val="32"/>
          <w:highlight w:val="none"/>
          <w14:textFill>
            <w14:solidFill>
              <w14:schemeClr w14:val="tx1"/>
            </w14:solidFill>
          </w14:textFill>
        </w:rPr>
        <w:t>安徽省驿达高速公路服务区经营管理有限公司</w:t>
      </w:r>
    </w:p>
    <w:p>
      <w:pPr>
        <w:jc w:val="center"/>
        <w:rPr>
          <w:rFonts w:hint="eastAsia" w:ascii="方正小标宋简体" w:hAnsi="方正小标宋简体" w:eastAsia="方正小标宋简体" w:cs="方正小标宋简体"/>
          <w:b/>
          <w:bCs/>
          <w:color w:val="000000" w:themeColor="text1"/>
          <w:sz w:val="44"/>
          <w:szCs w:val="44"/>
          <w:highlight w:val="none"/>
          <w14:textFill>
            <w14:solidFill>
              <w14:schemeClr w14:val="tx1"/>
            </w14:solidFill>
          </w14:textFill>
        </w:rPr>
      </w:pPr>
      <w:r>
        <w:rPr>
          <w:rFonts w:hint="eastAsia" w:ascii="宋体" w:hAnsi="宋体" w:eastAsia="宋体" w:cs="宋体"/>
          <w:b/>
          <w:bCs/>
          <w:color w:val="000000" w:themeColor="text1"/>
          <w:sz w:val="44"/>
          <w:szCs w:val="44"/>
          <w:highlight w:val="none"/>
          <w14:textFill>
            <w14:solidFill>
              <w14:schemeClr w14:val="tx1"/>
            </w14:solidFill>
          </w14:textFill>
        </w:rPr>
        <w:t>服务区信息服务及现场管控运维系统项目</w:t>
      </w:r>
    </w:p>
    <w:p>
      <w:pPr>
        <w:ind w:firstLine="880" w:firstLineChars="20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jc w:val="center"/>
        <w:rPr>
          <w:rFonts w:hint="eastAsia" w:ascii="黑体" w:hAnsi="黑体" w:eastAsia="黑体"/>
          <w:color w:val="000000" w:themeColor="text1"/>
          <w:sz w:val="72"/>
          <w:szCs w:val="72"/>
          <w:highlight w:val="none"/>
          <w14:textFill>
            <w14:solidFill>
              <w14:schemeClr w14:val="tx1"/>
            </w14:solidFill>
          </w14:textFill>
        </w:rPr>
      </w:pPr>
      <w:bookmarkStart w:id="113" w:name="_Toc23262"/>
    </w:p>
    <w:p>
      <w:pPr>
        <w:jc w:val="center"/>
        <w:rPr>
          <w:rFonts w:hint="eastAsia" w:ascii="黑体" w:hAnsi="黑体" w:eastAsia="黑体" w:cs="黑体"/>
          <w:color w:val="000000" w:themeColor="text1"/>
          <w:sz w:val="72"/>
          <w:szCs w:val="72"/>
          <w:highlight w:val="none"/>
          <w14:textFill>
            <w14:solidFill>
              <w14:schemeClr w14:val="tx1"/>
            </w14:solidFill>
          </w14:textFill>
        </w:rPr>
      </w:pPr>
      <w:r>
        <w:rPr>
          <w:rFonts w:hint="eastAsia" w:ascii="黑体" w:hAnsi="黑体" w:eastAsia="黑体" w:cs="黑体"/>
          <w:color w:val="000000" w:themeColor="text1"/>
          <w:sz w:val="72"/>
          <w:szCs w:val="72"/>
          <w:highlight w:val="none"/>
          <w:lang w:val="en-US" w:eastAsia="zh-CN"/>
          <w14:textFill>
            <w14:solidFill>
              <w14:schemeClr w14:val="tx1"/>
            </w14:solidFill>
          </w14:textFill>
        </w:rPr>
        <w:t>响  应</w:t>
      </w:r>
      <w:r>
        <w:rPr>
          <w:rFonts w:hint="eastAsia" w:ascii="黑体" w:hAnsi="黑体" w:eastAsia="黑体" w:cs="黑体"/>
          <w:color w:val="000000" w:themeColor="text1"/>
          <w:sz w:val="72"/>
          <w:szCs w:val="72"/>
          <w:highlight w:val="none"/>
          <w14:textFill>
            <w14:solidFill>
              <w14:schemeClr w14:val="tx1"/>
            </w14:solidFill>
          </w14:textFill>
        </w:rPr>
        <w:t xml:space="preserve">  文  件</w:t>
      </w:r>
      <w:bookmarkEnd w:id="113"/>
    </w:p>
    <w:p>
      <w:pPr>
        <w:pStyle w:val="8"/>
        <w:tabs>
          <w:tab w:val="left" w:pos="3229"/>
        </w:tabs>
        <w:outlineLvl w:val="2"/>
        <w:rPr>
          <w:rFonts w:hint="eastAsia" w:ascii="黑体" w:hAnsi="黑体" w:eastAsia="黑体" w:cs="黑体"/>
          <w:color w:val="000000" w:themeColor="text1"/>
          <w:sz w:val="52"/>
          <w:szCs w:val="52"/>
          <w:highlight w:val="none"/>
          <w:lang w:eastAsia="zh-CN"/>
          <w14:textFill>
            <w14:solidFill>
              <w14:schemeClr w14:val="tx1"/>
            </w14:solidFill>
          </w14:textFill>
        </w:rPr>
      </w:pPr>
      <w:bookmarkStart w:id="114" w:name="_Toc1895"/>
      <w:bookmarkStart w:id="115" w:name="_Toc14315"/>
      <w:bookmarkStart w:id="116" w:name="_Toc30317"/>
      <w:bookmarkStart w:id="117" w:name="_Toc18262"/>
      <w:r>
        <w:rPr>
          <w:rFonts w:hint="eastAsia" w:ascii="黑体" w:hAnsi="黑体" w:eastAsia="黑体" w:cs="黑体"/>
          <w:color w:val="000000" w:themeColor="text1"/>
          <w:sz w:val="52"/>
          <w:szCs w:val="52"/>
          <w:highlight w:val="none"/>
          <w:lang w:eastAsia="zh-CN"/>
          <w14:textFill>
            <w14:solidFill>
              <w14:schemeClr w14:val="tx1"/>
            </w14:solidFill>
          </w14:textFill>
        </w:rPr>
        <w:t>第二个信封</w:t>
      </w:r>
      <w:bookmarkEnd w:id="114"/>
    </w:p>
    <w:p>
      <w:pPr>
        <w:jc w:val="center"/>
        <w:outlineLvl w:val="9"/>
        <w:rPr>
          <w:rFonts w:hint="eastAsia" w:ascii="黑体" w:hAnsi="黑体" w:eastAsia="黑体" w:cs="黑体"/>
          <w:color w:val="000000" w:themeColor="text1"/>
          <w:sz w:val="52"/>
          <w:szCs w:val="52"/>
          <w:highlight w:val="none"/>
          <w14:textFill>
            <w14:solidFill>
              <w14:schemeClr w14:val="tx1"/>
            </w14:solidFill>
          </w14:textFill>
        </w:rPr>
      </w:pPr>
      <w:r>
        <w:rPr>
          <w:rFonts w:hint="eastAsia" w:ascii="黑体" w:hAnsi="黑体" w:eastAsia="黑体" w:cs="黑体"/>
          <w:color w:val="000000" w:themeColor="text1"/>
          <w:sz w:val="52"/>
          <w:szCs w:val="52"/>
          <w:highlight w:val="none"/>
          <w14:textFill>
            <w14:solidFill>
              <w14:schemeClr w14:val="tx1"/>
            </w14:solidFill>
          </w14:textFill>
        </w:rPr>
        <w:t>报价文件</w:t>
      </w:r>
      <w:bookmarkEnd w:id="115"/>
      <w:bookmarkEnd w:id="116"/>
      <w:bookmarkEnd w:id="117"/>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jc w:val="center"/>
        <w:rPr>
          <w:rFonts w:hint="eastAsia"/>
          <w:color w:val="000000" w:themeColor="text1"/>
          <w:sz w:val="24"/>
          <w:szCs w:val="24"/>
          <w:highlight w:val="none"/>
          <w14:textFill>
            <w14:solidFill>
              <w14:schemeClr w14:val="tx1"/>
            </w14:solidFill>
          </w14:textFill>
        </w:rPr>
      </w:pPr>
      <w:bookmarkStart w:id="118" w:name="_Toc4263"/>
      <w:r>
        <w:rPr>
          <w:rFonts w:hint="eastAsia"/>
          <w:color w:val="000000" w:themeColor="text1"/>
          <w:sz w:val="24"/>
          <w:szCs w:val="24"/>
          <w:highlight w:val="none"/>
          <w14:textFill>
            <w14:solidFill>
              <w14:schemeClr w14:val="tx1"/>
            </w14:solidFill>
          </w14:textFill>
        </w:rPr>
        <w:t>响应人：</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 xml:space="preserve">（盖单位章）   </w:t>
      </w:r>
      <w:bookmarkEnd w:id="118"/>
    </w:p>
    <w:p>
      <w:pPr>
        <w:jc w:val="center"/>
        <w:rPr>
          <w:rFonts w:hint="eastAsia"/>
          <w:color w:val="000000" w:themeColor="text1"/>
          <w:sz w:val="24"/>
          <w:szCs w:val="24"/>
          <w:highlight w:val="none"/>
          <w14:textFill>
            <w14:solidFill>
              <w14:schemeClr w14:val="tx1"/>
            </w14:solidFill>
          </w14:textFill>
        </w:rPr>
      </w:pPr>
      <w:bookmarkStart w:id="119" w:name="_Toc5429"/>
      <w:r>
        <w:rPr>
          <w:rFonts w:hint="eastAsia"/>
          <w:color w:val="000000" w:themeColor="text1"/>
          <w:sz w:val="24"/>
          <w:szCs w:val="24"/>
          <w:highlight w:val="none"/>
          <w14:textFill>
            <w14:solidFill>
              <w14:schemeClr w14:val="tx1"/>
            </w14:solidFill>
          </w14:textFill>
        </w:rPr>
        <w:t xml:space="preserve">             年        月         日</w:t>
      </w:r>
      <w:bookmarkEnd w:id="119"/>
    </w:p>
    <w:p>
      <w:pPr>
        <w:pStyle w:val="9"/>
        <w:jc w:val="center"/>
        <w:outlineLvl w:val="3"/>
        <w:rPr>
          <w:rStyle w:val="43"/>
          <w:rFonts w:hint="default" w:eastAsia="方正小标宋简体"/>
          <w:b w:val="0"/>
          <w:color w:val="000000" w:themeColor="text1"/>
          <w:highlight w:val="none"/>
          <w:lang w:val="en-US" w:eastAsia="zh-CN"/>
          <w14:textFill>
            <w14:solidFill>
              <w14:schemeClr w14:val="tx1"/>
            </w14:solidFill>
          </w14:textFill>
        </w:rPr>
      </w:pPr>
      <w:r>
        <w:rPr>
          <w:rFonts w:hint="eastAsia" w:cs="宋体"/>
          <w:color w:val="000000" w:themeColor="text1"/>
          <w:sz w:val="24"/>
          <w:highlight w:val="none"/>
          <w14:textFill>
            <w14:solidFill>
              <w14:schemeClr w14:val="tx1"/>
            </w14:solidFill>
          </w14:textFill>
        </w:rPr>
        <w:br w:type="page"/>
      </w:r>
      <w:bookmarkStart w:id="120" w:name="_Toc21272"/>
      <w:bookmarkStart w:id="121" w:name="_Toc29408"/>
      <w:bookmarkStart w:id="122" w:name="_Toc32031"/>
      <w:bookmarkStart w:id="123" w:name="_Toc29300_WPSOffice_Level1"/>
      <w:bookmarkStart w:id="124" w:name="_Toc17646_WPSOffice_Level1"/>
      <w:bookmarkStart w:id="125" w:name="_Toc10330"/>
      <w:bookmarkStart w:id="126" w:name="_Toc29251"/>
      <w:bookmarkStart w:id="127" w:name="_Toc15516"/>
      <w:bookmarkStart w:id="128" w:name="_Toc23359"/>
      <w:bookmarkStart w:id="129" w:name="_Toc23672"/>
      <w:bookmarkStart w:id="130" w:name="_Toc7728"/>
      <w:bookmarkStart w:id="131" w:name="_Toc24834"/>
      <w:r>
        <w:rPr>
          <w:rStyle w:val="41"/>
          <w:rFonts w:hint="eastAsia" w:ascii="方正小标宋简体" w:eastAsia="方正小标宋简体"/>
          <w:b w:val="0"/>
          <w:iCs/>
          <w:color w:val="000000" w:themeColor="text1"/>
          <w:sz w:val="32"/>
          <w:szCs w:val="32"/>
          <w:highlight w:val="none"/>
          <w14:textFill>
            <w14:solidFill>
              <w14:schemeClr w14:val="tx1"/>
            </w14:solidFill>
          </w14:textFill>
        </w:rPr>
        <w:t>一、</w:t>
      </w:r>
      <w:r>
        <w:rPr>
          <w:rStyle w:val="41"/>
          <w:rFonts w:hint="eastAsia" w:ascii="方正小标宋简体" w:eastAsia="方正小标宋简体"/>
          <w:b w:val="0"/>
          <w:iCs/>
          <w:color w:val="000000" w:themeColor="text1"/>
          <w:sz w:val="32"/>
          <w:szCs w:val="32"/>
          <w:highlight w:val="none"/>
          <w:lang w:val="en-US" w:eastAsia="zh-CN"/>
          <w14:textFill>
            <w14:solidFill>
              <w14:schemeClr w14:val="tx1"/>
            </w14:solidFill>
          </w14:textFill>
        </w:rPr>
        <w:t>报价</w:t>
      </w:r>
      <w:r>
        <w:rPr>
          <w:rStyle w:val="41"/>
          <w:rFonts w:hint="eastAsia" w:ascii="方正小标宋简体" w:eastAsia="方正小标宋简体"/>
          <w:b w:val="0"/>
          <w:iCs/>
          <w:color w:val="000000" w:themeColor="text1"/>
          <w:sz w:val="32"/>
          <w:szCs w:val="32"/>
          <w:highlight w:val="none"/>
          <w14:textFill>
            <w14:solidFill>
              <w14:schemeClr w14:val="tx1"/>
            </w14:solidFill>
          </w14:textFill>
        </w:rPr>
        <w:t>函</w:t>
      </w:r>
      <w:bookmarkEnd w:id="120"/>
      <w:bookmarkEnd w:id="121"/>
      <w:bookmarkEnd w:id="122"/>
      <w:bookmarkEnd w:id="123"/>
      <w:bookmarkEnd w:id="124"/>
      <w:bookmarkEnd w:id="125"/>
      <w:bookmarkEnd w:id="126"/>
      <w:bookmarkEnd w:id="127"/>
      <w:bookmarkEnd w:id="128"/>
      <w:r>
        <w:rPr>
          <w:rStyle w:val="41"/>
          <w:rFonts w:hint="eastAsia" w:ascii="方正小标宋简体" w:eastAsia="方正小标宋简体"/>
          <w:b w:val="0"/>
          <w:iCs/>
          <w:color w:val="000000" w:themeColor="text1"/>
          <w:sz w:val="32"/>
          <w:szCs w:val="32"/>
          <w:highlight w:val="none"/>
          <w:lang w:val="en-US" w:eastAsia="zh-CN"/>
          <w14:textFill>
            <w14:solidFill>
              <w14:schemeClr w14:val="tx1"/>
            </w14:solidFill>
          </w14:textFill>
        </w:rPr>
        <w:t>及报价清单</w:t>
      </w:r>
    </w:p>
    <w:bookmarkEnd w:id="129"/>
    <w:bookmarkEnd w:id="130"/>
    <w:bookmarkEnd w:id="131"/>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p>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(采购人名称)：</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1.我方已仔细研究</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项目询比文件的全部内容（含补遗书第</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号至第</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号），愿意以人民币（大写）</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元（¥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）的总报价，遵照询比文件的各项要求，承担</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项目的全部工作。</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2.我方根据询价文件的规定，严格履行合同的责任和义务,并保证于采购人要求的监理服务期限内完成本项目全部工作。</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（其他补充说明）。</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（盖单位章）</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法定代表人或其委托代理人：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（签字）</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地址：</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网址：</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电话：</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传真：</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邮政编码：</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日</w:t>
      </w: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pPr>
    </w:p>
    <w:p>
      <w:pPr>
        <w:spacing w:line="360" w:lineRule="exact"/>
        <w:ind w:firstLine="480" w:firstLineChars="200"/>
        <w:rPr>
          <w:rFonts w:hint="eastAsia" w:cs="宋体"/>
          <w:color w:val="000000" w:themeColor="text1"/>
          <w:sz w:val="24"/>
          <w:szCs w:val="24"/>
          <w:highlight w:val="none"/>
          <w14:textFill>
            <w14:solidFill>
              <w14:schemeClr w14:val="tx1"/>
            </w14:solidFill>
          </w14:textFill>
        </w:rPr>
        <w:sectPr>
          <w:headerReference r:id="rId16" w:type="default"/>
          <w:footerReference r:id="rId17" w:type="default"/>
          <w:footnotePr>
            <w:numFmt w:val="decimalEnclosedCircleChinese"/>
            <w:numRestart w:val="eachPage"/>
          </w:footnotePr>
          <w:pgSz w:w="11906" w:h="16838"/>
          <w:pgMar w:top="1417" w:right="1417" w:bottom="1417" w:left="1417" w:header="851" w:footer="851" w:gutter="0"/>
          <w:cols w:space="720" w:num="1"/>
          <w:docGrid w:type="lines" w:linePitch="312" w:charSpace="0"/>
        </w:sectPr>
      </w:pPr>
    </w:p>
    <w:p>
      <w:pPr>
        <w:pStyle w:val="9"/>
        <w:numPr>
          <w:ilvl w:val="0"/>
          <w:numId w:val="10"/>
        </w:numPr>
        <w:outlineLvl w:val="3"/>
        <w:rPr>
          <w:rStyle w:val="41"/>
          <w:rFonts w:hint="eastAsia" w:ascii="方正小标宋简体" w:eastAsia="方正小标宋简体"/>
          <w:b w:val="0"/>
          <w:iCs/>
          <w:color w:val="000000" w:themeColor="text1"/>
          <w:sz w:val="32"/>
          <w:szCs w:val="32"/>
          <w:highlight w:val="none"/>
          <w:lang w:val="en-US" w:eastAsia="zh-CN"/>
          <w14:textFill>
            <w14:solidFill>
              <w14:schemeClr w14:val="tx1"/>
            </w14:solidFill>
          </w14:textFill>
        </w:rPr>
      </w:pPr>
      <w:r>
        <w:rPr>
          <w:rStyle w:val="41"/>
          <w:rFonts w:hint="eastAsia" w:ascii="方正小标宋简体" w:eastAsia="方正小标宋简体"/>
          <w:b w:val="0"/>
          <w:iCs/>
          <w:color w:val="000000" w:themeColor="text1"/>
          <w:sz w:val="32"/>
          <w:szCs w:val="32"/>
          <w:highlight w:val="none"/>
          <w:lang w:val="en-US" w:eastAsia="zh-CN"/>
          <w14:textFill>
            <w14:solidFill>
              <w14:schemeClr w14:val="tx1"/>
            </w14:solidFill>
          </w14:textFill>
        </w:rPr>
        <w:t>报价清单</w:t>
      </w:r>
    </w:p>
    <w:p>
      <w:pPr>
        <w:shd w:val="clear" w:color="auto" w:fill="FFFFFF"/>
        <w:spacing w:line="360" w:lineRule="auto"/>
        <w:jc w:val="center"/>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A</w:t>
      </w:r>
      <w:r>
        <w:rPr>
          <w:rFonts w:hint="eastAsia" w:ascii="宋体" w:hAnsi="宋体"/>
          <w:b/>
          <w:color w:val="000000" w:themeColor="text1"/>
          <w:highlight w:val="none"/>
          <w14:textFill>
            <w14:solidFill>
              <w14:schemeClr w14:val="tx1"/>
            </w14:solidFill>
          </w14:textFill>
        </w:rPr>
        <w:t>．</w:t>
      </w:r>
      <w:r>
        <w:rPr>
          <w:rFonts w:hint="eastAsia" w:ascii="宋体" w:hAnsi="宋体"/>
          <w:b/>
          <w:color w:val="000000" w:themeColor="text1"/>
          <w:highlight w:val="none"/>
          <w:lang w:eastAsia="zh-CN"/>
          <w14:textFill>
            <w14:solidFill>
              <w14:schemeClr w14:val="tx1"/>
            </w14:solidFill>
          </w14:textFill>
        </w:rPr>
        <w:t>报价</w:t>
      </w:r>
      <w:r>
        <w:rPr>
          <w:rFonts w:hint="eastAsia" w:ascii="宋体" w:hAnsi="宋体"/>
          <w:b/>
          <w:color w:val="000000" w:themeColor="text1"/>
          <w:highlight w:val="none"/>
          <w14:textFill>
            <w14:solidFill>
              <w14:schemeClr w14:val="tx1"/>
            </w14:solidFill>
          </w14:textFill>
        </w:rPr>
        <w:t>说明</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1、“报价清单”应与</w:t>
      </w:r>
      <w:r>
        <w:rPr>
          <w:rFonts w:hint="eastAsia"/>
          <w:color w:val="000000" w:themeColor="text1"/>
          <w:szCs w:val="21"/>
          <w:highlight w:val="none"/>
          <w:lang w:eastAsia="zh-CN"/>
          <w14:textFill>
            <w14:solidFill>
              <w14:schemeClr w14:val="tx1"/>
            </w14:solidFill>
          </w14:textFill>
        </w:rPr>
        <w:t>询比文件</w:t>
      </w:r>
      <w:r>
        <w:rPr>
          <w:color w:val="000000" w:themeColor="text1"/>
          <w:szCs w:val="21"/>
          <w:highlight w:val="none"/>
          <w14:textFill>
            <w14:solidFill>
              <w14:schemeClr w14:val="tx1"/>
            </w14:solidFill>
          </w14:textFill>
        </w:rPr>
        <w:t>、合同条款、参考资料一起使用。</w:t>
      </w:r>
      <w:r>
        <w:rPr>
          <w:rFonts w:hint="eastAsia"/>
          <w:color w:val="000000" w:themeColor="text1"/>
          <w:szCs w:val="21"/>
          <w:highlight w:val="none"/>
          <w:lang w:val="en-US" w:eastAsia="zh-CN"/>
          <w14:textFill>
            <w14:solidFill>
              <w14:schemeClr w14:val="tx1"/>
            </w14:solidFill>
          </w14:textFill>
        </w:rPr>
        <w:t>供应商</w:t>
      </w:r>
      <w:r>
        <w:rPr>
          <w:color w:val="000000" w:themeColor="text1"/>
          <w:szCs w:val="21"/>
          <w:highlight w:val="none"/>
          <w14:textFill>
            <w14:solidFill>
              <w14:schemeClr w14:val="tx1"/>
            </w14:solidFill>
          </w14:textFill>
        </w:rPr>
        <w:t>应根据本项目规定的询比项目工作内容、参考资料和现场考察情况，编制《报价单》，并以此做为本项目总费用的基础。</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2、本合同为总价合同，不作调整。除非合同另有规定，竞标报价表中有标价的合价及合计金额均已包括了为实施和完成合同所需的所有费用（包括人工、</w:t>
      </w:r>
      <w:r>
        <w:rPr>
          <w:rFonts w:hint="eastAsia"/>
          <w:color w:val="000000" w:themeColor="text1"/>
          <w:szCs w:val="21"/>
          <w:highlight w:val="none"/>
          <w:lang w:val="en-US" w:eastAsia="zh-CN"/>
          <w14:textFill>
            <w14:solidFill>
              <w14:schemeClr w14:val="tx1"/>
            </w14:solidFill>
          </w14:textFill>
        </w:rPr>
        <w:t>数据获取、接口开发、</w:t>
      </w:r>
      <w:r>
        <w:rPr>
          <w:color w:val="000000" w:themeColor="text1"/>
          <w:szCs w:val="21"/>
          <w:highlight w:val="none"/>
          <w14:textFill>
            <w14:solidFill>
              <w14:schemeClr w14:val="tx1"/>
            </w14:solidFill>
          </w14:textFill>
        </w:rPr>
        <w:t>设备、管理、办公、交通、元件购置、物耗、利润、保险、税费、风险及有关的其它费用等），以及合同明示和暗示的所有责任、义务和一般风险。</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w:t>
      </w:r>
      <w:r>
        <w:rPr>
          <w:rFonts w:hint="eastAsia"/>
          <w:color w:val="000000" w:themeColor="text1"/>
          <w:szCs w:val="21"/>
          <w:highlight w:val="none"/>
          <w:lang w:val="en-US" w:eastAsia="zh-CN"/>
          <w14:textFill>
            <w14:solidFill>
              <w14:schemeClr w14:val="tx1"/>
            </w14:solidFill>
          </w14:textFill>
        </w:rPr>
        <w:t>供应商</w:t>
      </w:r>
      <w:r>
        <w:rPr>
          <w:color w:val="000000" w:themeColor="text1"/>
          <w:szCs w:val="21"/>
          <w:highlight w:val="none"/>
          <w14:textFill>
            <w14:solidFill>
              <w14:schemeClr w14:val="tx1"/>
            </w14:solidFill>
          </w14:textFill>
        </w:rPr>
        <w:t>在填报费用时应综合考虑以下因素：</w:t>
      </w:r>
      <w:r>
        <w:rPr>
          <w:rFonts w:hint="eastAsia"/>
          <w:color w:val="000000" w:themeColor="text1"/>
          <w:szCs w:val="21"/>
          <w:highlight w:val="none"/>
          <w:lang w:val="en-US" w:eastAsia="zh-CN"/>
          <w14:textFill>
            <w14:solidFill>
              <w14:schemeClr w14:val="tx1"/>
            </w14:solidFill>
          </w14:textFill>
        </w:rPr>
        <w:t>供应商</w:t>
      </w:r>
      <w:r>
        <w:rPr>
          <w:color w:val="000000" w:themeColor="text1"/>
          <w:szCs w:val="21"/>
          <w:highlight w:val="none"/>
          <w14:textFill>
            <w14:solidFill>
              <w14:schemeClr w14:val="tx1"/>
            </w14:solidFill>
          </w14:textFill>
        </w:rPr>
        <w:t>所提供的各级人员、仪器及交通、办公均应满足询比文件及</w:t>
      </w:r>
      <w:r>
        <w:rPr>
          <w:bCs/>
          <w:color w:val="000000" w:themeColor="text1"/>
          <w:szCs w:val="21"/>
          <w:highlight w:val="none"/>
          <w14:textFill>
            <w14:solidFill>
              <w14:schemeClr w14:val="tx1"/>
            </w14:solidFill>
          </w14:textFill>
        </w:rPr>
        <w:t>项目现场要求</w:t>
      </w:r>
      <w:r>
        <w:rPr>
          <w:color w:val="000000" w:themeColor="text1"/>
          <w:szCs w:val="21"/>
          <w:highlight w:val="none"/>
          <w14:textFill>
            <w14:solidFill>
              <w14:schemeClr w14:val="tx1"/>
            </w14:solidFill>
          </w14:textFill>
        </w:rPr>
        <w:t>，并在此基础上根据工作需要增加配置。有关费用均计入竞标报价中，</w:t>
      </w:r>
      <w:r>
        <w:rPr>
          <w:rFonts w:hint="eastAsia"/>
          <w:color w:val="000000" w:themeColor="text1"/>
          <w:szCs w:val="21"/>
          <w:highlight w:val="none"/>
          <w:lang w:eastAsia="zh-CN"/>
          <w14:textFill>
            <w14:solidFill>
              <w14:schemeClr w14:val="tx1"/>
            </w14:solidFill>
          </w14:textFill>
        </w:rPr>
        <w:t>采购人</w:t>
      </w:r>
      <w:r>
        <w:rPr>
          <w:color w:val="000000" w:themeColor="text1"/>
          <w:szCs w:val="21"/>
          <w:highlight w:val="none"/>
          <w14:textFill>
            <w14:solidFill>
              <w14:schemeClr w14:val="tx1"/>
            </w14:solidFill>
          </w14:textFill>
        </w:rPr>
        <w:t>不另行支付。</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r>
        <w:rPr>
          <w:rFonts w:hint="eastAsia"/>
          <w:color w:val="000000" w:themeColor="text1"/>
          <w:szCs w:val="21"/>
          <w:highlight w:val="none"/>
          <w:lang w:val="en-US" w:eastAsia="zh-CN"/>
          <w14:textFill>
            <w14:solidFill>
              <w14:schemeClr w14:val="tx1"/>
            </w14:solidFill>
          </w14:textFill>
        </w:rPr>
        <w:t>供应商</w:t>
      </w:r>
      <w:r>
        <w:rPr>
          <w:color w:val="000000" w:themeColor="text1"/>
          <w:szCs w:val="21"/>
          <w:highlight w:val="none"/>
          <w14:textFill>
            <w14:solidFill>
              <w14:schemeClr w14:val="tx1"/>
            </w14:solidFill>
          </w14:textFill>
        </w:rPr>
        <w:t>应在竞标报价中充分考虑不同复杂程度的变化以及可能带来的风险。</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5、“报价</w:t>
      </w:r>
      <w:r>
        <w:rPr>
          <w:rFonts w:hint="eastAsia"/>
          <w:color w:val="000000" w:themeColor="text1"/>
          <w:szCs w:val="21"/>
          <w:highlight w:val="none"/>
          <w:lang w:val="en-US" w:eastAsia="zh-CN"/>
          <w14:textFill>
            <w14:solidFill>
              <w14:schemeClr w14:val="tx1"/>
            </w14:solidFill>
          </w14:textFill>
        </w:rPr>
        <w:t>清单</w:t>
      </w:r>
      <w:r>
        <w:rPr>
          <w:color w:val="000000" w:themeColor="text1"/>
          <w:szCs w:val="21"/>
          <w:highlight w:val="none"/>
          <w14:textFill>
            <w14:solidFill>
              <w14:schemeClr w14:val="tx1"/>
            </w14:solidFill>
          </w14:textFill>
        </w:rPr>
        <w:t>”为固定格式，</w:t>
      </w:r>
      <w:r>
        <w:rPr>
          <w:rFonts w:hint="eastAsia"/>
          <w:color w:val="000000" w:themeColor="text1"/>
          <w:szCs w:val="21"/>
          <w:highlight w:val="none"/>
          <w:lang w:eastAsia="zh-CN"/>
          <w14:textFill>
            <w14:solidFill>
              <w14:schemeClr w14:val="tx1"/>
            </w14:solidFill>
          </w14:textFill>
        </w:rPr>
        <w:t>供应商</w:t>
      </w:r>
      <w:r>
        <w:rPr>
          <w:color w:val="000000" w:themeColor="text1"/>
          <w:szCs w:val="21"/>
          <w:highlight w:val="none"/>
          <w14:textFill>
            <w14:solidFill>
              <w14:schemeClr w14:val="tx1"/>
            </w14:solidFill>
          </w14:textFill>
        </w:rPr>
        <w:t>必须填写，并不得增加支付项目。</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6、“报价</w:t>
      </w:r>
      <w:r>
        <w:rPr>
          <w:rFonts w:hint="eastAsia"/>
          <w:color w:val="000000" w:themeColor="text1"/>
          <w:szCs w:val="21"/>
          <w:highlight w:val="none"/>
          <w:lang w:val="en-US" w:eastAsia="zh-CN"/>
          <w14:textFill>
            <w14:solidFill>
              <w14:schemeClr w14:val="tx1"/>
            </w14:solidFill>
          </w14:textFill>
        </w:rPr>
        <w:t>清单</w:t>
      </w:r>
      <w:r>
        <w:rPr>
          <w:color w:val="000000" w:themeColor="text1"/>
          <w:szCs w:val="21"/>
          <w:highlight w:val="none"/>
          <w14:textFill>
            <w14:solidFill>
              <w14:schemeClr w14:val="tx1"/>
            </w14:solidFill>
          </w14:textFill>
        </w:rPr>
        <w:t>”的每一个项目，都需填入合计金额；对于没有填入合计金额的项目，其费用应视为已包括在的其他项目的合计金额中，</w:t>
      </w:r>
      <w:r>
        <w:rPr>
          <w:rFonts w:hint="eastAsia"/>
          <w:color w:val="000000" w:themeColor="text1"/>
          <w:szCs w:val="21"/>
          <w:highlight w:val="none"/>
          <w:lang w:val="en-US" w:eastAsia="zh-CN"/>
          <w14:textFill>
            <w14:solidFill>
              <w14:schemeClr w14:val="tx1"/>
            </w14:solidFill>
          </w14:textFill>
        </w:rPr>
        <w:t>供应商</w:t>
      </w:r>
      <w:r>
        <w:rPr>
          <w:color w:val="000000" w:themeColor="text1"/>
          <w:szCs w:val="21"/>
          <w:highlight w:val="none"/>
          <w14:textFill>
            <w14:solidFill>
              <w14:schemeClr w14:val="tx1"/>
            </w14:solidFill>
          </w14:textFill>
        </w:rPr>
        <w:t>必须按</w:t>
      </w:r>
      <w:r>
        <w:rPr>
          <w:rFonts w:hint="eastAsia"/>
          <w:color w:val="000000" w:themeColor="text1"/>
          <w:szCs w:val="21"/>
          <w:highlight w:val="none"/>
          <w:lang w:eastAsia="zh-CN"/>
          <w14:textFill>
            <w14:solidFill>
              <w14:schemeClr w14:val="tx1"/>
            </w14:solidFill>
          </w14:textFill>
        </w:rPr>
        <w:t>采购人</w:t>
      </w:r>
      <w:r>
        <w:rPr>
          <w:color w:val="000000" w:themeColor="text1"/>
          <w:szCs w:val="21"/>
          <w:highlight w:val="none"/>
          <w14:textFill>
            <w14:solidFill>
              <w14:schemeClr w14:val="tx1"/>
            </w14:solidFill>
          </w14:textFill>
        </w:rPr>
        <w:t>指令完成未填入合计金额的</w:t>
      </w:r>
      <w:r>
        <w:rPr>
          <w:rFonts w:hint="eastAsia"/>
          <w:color w:val="000000" w:themeColor="text1"/>
          <w:szCs w:val="21"/>
          <w:highlight w:val="none"/>
          <w:lang w:val="en-US" w:eastAsia="zh-CN"/>
          <w14:textFill>
            <w14:solidFill>
              <w14:schemeClr w14:val="tx1"/>
            </w14:solidFill>
          </w14:textFill>
        </w:rPr>
        <w:t>采购</w:t>
      </w:r>
      <w:r>
        <w:rPr>
          <w:color w:val="000000" w:themeColor="text1"/>
          <w:szCs w:val="21"/>
          <w:highlight w:val="none"/>
          <w14:textFill>
            <w14:solidFill>
              <w14:schemeClr w14:val="tx1"/>
            </w14:solidFill>
          </w14:textFill>
        </w:rPr>
        <w:t>项目，但合同总价不予调整。</w:t>
      </w:r>
    </w:p>
    <w:p>
      <w:pPr>
        <w:shd w:val="clear" w:color="auto" w:fill="FFFFFF"/>
        <w:spacing w:line="360" w:lineRule="auto"/>
        <w:ind w:firstLine="48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w:t>
      </w:r>
      <w:r>
        <w:rPr>
          <w:rFonts w:hint="eastAsia"/>
          <w:color w:val="000000" w:themeColor="text1"/>
          <w:szCs w:val="21"/>
          <w:highlight w:val="none"/>
          <w:lang w:val="en-US" w:eastAsia="zh-CN"/>
          <w14:textFill>
            <w14:solidFill>
              <w14:schemeClr w14:val="tx1"/>
            </w14:solidFill>
          </w14:textFill>
        </w:rPr>
        <w:t>供应商</w:t>
      </w:r>
      <w:r>
        <w:rPr>
          <w:color w:val="000000" w:themeColor="text1"/>
          <w:szCs w:val="21"/>
          <w:highlight w:val="none"/>
          <w14:textFill>
            <w14:solidFill>
              <w14:schemeClr w14:val="tx1"/>
            </w14:solidFill>
          </w14:textFill>
        </w:rPr>
        <w:t>在清单中报价应以人民币表示。竞标报价表“报价汇总表”中所列的竞标总价应与响应文件中的竞标总价一致。</w:t>
      </w:r>
    </w:p>
    <w:p>
      <w:pPr>
        <w:numPr>
          <w:numId w:val="0"/>
        </w:numPr>
        <w:rPr>
          <w:rFonts w:hint="eastAsia"/>
          <w:color w:val="000000" w:themeColor="text1"/>
          <w:highlight w:val="none"/>
          <w14:textFill>
            <w14:solidFill>
              <w14:schemeClr w14:val="tx1"/>
            </w14:solidFill>
          </w14:textFill>
        </w:rPr>
      </w:pPr>
    </w:p>
    <w:p>
      <w:pPr>
        <w:rPr>
          <w:rFonts w:hint="eastAsia" w:eastAsia="仿宋"/>
          <w:b/>
          <w:bCs/>
          <w:color w:val="000000" w:themeColor="text1"/>
          <w:sz w:val="28"/>
          <w:highlight w:val="none"/>
          <w:lang w:val="en-US" w:eastAsia="zh-CN"/>
          <w14:textFill>
            <w14:solidFill>
              <w14:schemeClr w14:val="tx1"/>
            </w14:solidFill>
          </w14:textFill>
        </w:rPr>
      </w:pPr>
      <w:r>
        <w:rPr>
          <w:rFonts w:hint="eastAsia" w:eastAsia="仿宋"/>
          <w:b/>
          <w:bCs/>
          <w:color w:val="000000" w:themeColor="text1"/>
          <w:sz w:val="28"/>
          <w:highlight w:val="none"/>
          <w:lang w:val="en-US" w:eastAsia="zh-CN"/>
          <w14:textFill>
            <w14:solidFill>
              <w14:schemeClr w14:val="tx1"/>
            </w14:solidFill>
          </w14:textFill>
        </w:rPr>
        <w:br w:type="page"/>
      </w:r>
    </w:p>
    <w:p>
      <w:pPr>
        <w:jc w:val="center"/>
        <w:rPr>
          <w:rFonts w:hint="eastAsia" w:ascii="宋体" w:hAnsi="宋体"/>
          <w:color w:val="000000" w:themeColor="text1"/>
          <w:highlight w:val="none"/>
          <w14:textFill>
            <w14:solidFill>
              <w14:schemeClr w14:val="tx1"/>
            </w14:solidFill>
          </w14:textFill>
        </w:rPr>
      </w:pPr>
      <w:r>
        <w:rPr>
          <w:rFonts w:hint="eastAsia" w:eastAsia="仿宋"/>
          <w:b/>
          <w:bCs/>
          <w:color w:val="000000" w:themeColor="text1"/>
          <w:sz w:val="28"/>
          <w:highlight w:val="none"/>
          <w:lang w:val="en-US" w:eastAsia="zh-CN"/>
          <w14:textFill>
            <w14:solidFill>
              <w14:schemeClr w14:val="tx1"/>
            </w14:solidFill>
          </w14:textFill>
        </w:rPr>
        <w:t>B</w:t>
      </w:r>
      <w:r>
        <w:rPr>
          <w:rFonts w:hint="eastAsia" w:eastAsia="仿宋"/>
          <w:b/>
          <w:bCs/>
          <w:color w:val="000000" w:themeColor="text1"/>
          <w:sz w:val="28"/>
          <w:highlight w:val="none"/>
          <w14:textFill>
            <w14:solidFill>
              <w14:schemeClr w14:val="tx1"/>
            </w14:solidFill>
          </w14:textFill>
        </w:rPr>
        <w:t>服务区信息服务及现场管控运维系统项目</w:t>
      </w:r>
      <w:r>
        <w:rPr>
          <w:rFonts w:hint="eastAsia" w:eastAsia="仿宋"/>
          <w:b/>
          <w:bCs/>
          <w:color w:val="000000" w:themeColor="text1"/>
          <w:sz w:val="28"/>
          <w:highlight w:val="none"/>
          <w:lang w:val="en-US" w:eastAsia="zh-CN"/>
          <w14:textFill>
            <w14:solidFill>
              <w14:schemeClr w14:val="tx1"/>
            </w14:solidFill>
          </w14:textFill>
        </w:rPr>
        <w:t>工程量清单</w:t>
      </w:r>
    </w:p>
    <w:tbl>
      <w:tblPr>
        <w:tblStyle w:val="22"/>
        <w:tblW w:w="11500" w:type="dxa"/>
        <w:jc w:val="center"/>
        <w:tblLayout w:type="fixed"/>
        <w:tblCellMar>
          <w:top w:w="0" w:type="dxa"/>
          <w:left w:w="108" w:type="dxa"/>
          <w:bottom w:w="0" w:type="dxa"/>
          <w:right w:w="108" w:type="dxa"/>
        </w:tblCellMar>
      </w:tblPr>
      <w:tblGrid>
        <w:gridCol w:w="445"/>
        <w:gridCol w:w="1466"/>
        <w:gridCol w:w="6745"/>
        <w:gridCol w:w="722"/>
        <w:gridCol w:w="678"/>
        <w:gridCol w:w="733"/>
        <w:gridCol w:w="711"/>
      </w:tblGrid>
      <w:tr>
        <w:tblPrEx>
          <w:tblCellMar>
            <w:top w:w="0" w:type="dxa"/>
            <w:left w:w="108" w:type="dxa"/>
            <w:bottom w:w="0" w:type="dxa"/>
            <w:right w:w="108" w:type="dxa"/>
          </w:tblCellMar>
        </w:tblPrEx>
        <w:trPr>
          <w:trHeight w:val="291" w:hRule="atLeast"/>
          <w:jc w:val="center"/>
        </w:trPr>
        <w:tc>
          <w:tcPr>
            <w:tcW w:w="445" w:type="dxa"/>
            <w:tcBorders>
              <w:top w:val="single" w:color="auto" w:sz="8" w:space="0"/>
              <w:left w:val="single" w:color="auto" w:sz="8" w:space="0"/>
              <w:bottom w:val="nil"/>
              <w:right w:val="single" w:color="auto" w:sz="8" w:space="0"/>
            </w:tcBorders>
            <w:shd w:val="clear" w:color="auto" w:fill="D7D7D7"/>
            <w:noWrap w:val="0"/>
            <w:vAlign w:val="center"/>
          </w:tcPr>
          <w:p>
            <w:pPr>
              <w:widowControl/>
              <w:jc w:val="center"/>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序号</w:t>
            </w:r>
          </w:p>
        </w:tc>
        <w:tc>
          <w:tcPr>
            <w:tcW w:w="1466" w:type="dxa"/>
            <w:tcBorders>
              <w:top w:val="single" w:color="auto" w:sz="8" w:space="0"/>
              <w:left w:val="nil"/>
              <w:bottom w:val="nil"/>
              <w:right w:val="single" w:color="auto" w:sz="8" w:space="0"/>
            </w:tcBorders>
            <w:shd w:val="clear" w:color="auto" w:fill="D7D7D7"/>
            <w:noWrap w:val="0"/>
            <w:vAlign w:val="center"/>
          </w:tcPr>
          <w:p>
            <w:pPr>
              <w:widowControl/>
              <w:jc w:val="center"/>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名称</w:t>
            </w:r>
          </w:p>
        </w:tc>
        <w:tc>
          <w:tcPr>
            <w:tcW w:w="6745" w:type="dxa"/>
            <w:tcBorders>
              <w:top w:val="single" w:color="auto" w:sz="8" w:space="0"/>
              <w:left w:val="nil"/>
              <w:bottom w:val="nil"/>
              <w:right w:val="single" w:color="auto" w:sz="8" w:space="0"/>
            </w:tcBorders>
            <w:shd w:val="clear" w:color="auto" w:fill="D7D7D7"/>
            <w:noWrap w:val="0"/>
            <w:vAlign w:val="center"/>
          </w:tcPr>
          <w:p>
            <w:pPr>
              <w:widowControl/>
              <w:jc w:val="center"/>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lang w:val="en-US" w:eastAsia="zh-CN"/>
                <w14:textFill>
                  <w14:solidFill>
                    <w14:schemeClr w14:val="tx1"/>
                  </w14:solidFill>
                </w14:textFill>
              </w:rPr>
              <w:t>参数</w:t>
            </w:r>
            <w:r>
              <w:rPr>
                <w:rFonts w:hint="eastAsia" w:ascii="宋体" w:hAnsi="宋体" w:cs="宋体"/>
                <w:b/>
                <w:bCs/>
                <w:color w:val="000000" w:themeColor="text1"/>
                <w:kern w:val="0"/>
                <w:sz w:val="20"/>
                <w:highlight w:val="none"/>
                <w14:textFill>
                  <w14:solidFill>
                    <w14:schemeClr w14:val="tx1"/>
                  </w14:solidFill>
                </w14:textFill>
              </w:rPr>
              <w:t>要求</w:t>
            </w:r>
          </w:p>
        </w:tc>
        <w:tc>
          <w:tcPr>
            <w:tcW w:w="722" w:type="dxa"/>
            <w:tcBorders>
              <w:top w:val="single" w:color="auto" w:sz="8" w:space="0"/>
              <w:left w:val="nil"/>
              <w:bottom w:val="nil"/>
              <w:right w:val="single" w:color="auto" w:sz="8" w:space="0"/>
            </w:tcBorders>
            <w:shd w:val="clear" w:color="auto" w:fill="D7D7D7"/>
            <w:noWrap w:val="0"/>
            <w:vAlign w:val="center"/>
          </w:tcPr>
          <w:p>
            <w:pPr>
              <w:widowControl/>
              <w:jc w:val="center"/>
              <w:rPr>
                <w:rFonts w:hint="eastAsia" w:ascii="宋体" w:hAnsi="宋体" w:eastAsia="宋体" w:cs="宋体"/>
                <w:b/>
                <w:bCs/>
                <w:color w:val="000000" w:themeColor="text1"/>
                <w:kern w:val="0"/>
                <w:sz w:val="20"/>
                <w:highlight w:val="none"/>
                <w:lang w:eastAsia="zh-CN"/>
                <w14:textFill>
                  <w14:solidFill>
                    <w14:schemeClr w14:val="tx1"/>
                  </w14:solidFill>
                </w14:textFill>
              </w:rPr>
            </w:pPr>
            <w:r>
              <w:rPr>
                <w:rFonts w:hint="eastAsia" w:ascii="宋体" w:hAnsi="宋体" w:cs="宋体"/>
                <w:b/>
                <w:bCs/>
                <w:color w:val="000000" w:themeColor="text1"/>
                <w:kern w:val="0"/>
                <w:sz w:val="20"/>
                <w:highlight w:val="none"/>
                <w:lang w:val="en-US" w:eastAsia="zh-CN"/>
                <w14:textFill>
                  <w14:solidFill>
                    <w14:schemeClr w14:val="tx1"/>
                  </w14:solidFill>
                </w14:textFill>
              </w:rPr>
              <w:t>单位</w:t>
            </w:r>
          </w:p>
        </w:tc>
        <w:tc>
          <w:tcPr>
            <w:tcW w:w="678" w:type="dxa"/>
            <w:tcBorders>
              <w:top w:val="single" w:color="auto" w:sz="8" w:space="0"/>
              <w:left w:val="nil"/>
              <w:bottom w:val="nil"/>
              <w:right w:val="single" w:color="auto" w:sz="8" w:space="0"/>
            </w:tcBorders>
            <w:shd w:val="clear" w:color="auto" w:fill="D7D7D7"/>
            <w:noWrap w:val="0"/>
            <w:vAlign w:val="center"/>
          </w:tcPr>
          <w:p>
            <w:pPr>
              <w:widowControl/>
              <w:jc w:val="center"/>
              <w:rPr>
                <w:rFonts w:hint="eastAsia"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数量</w:t>
            </w:r>
          </w:p>
        </w:tc>
        <w:tc>
          <w:tcPr>
            <w:tcW w:w="733" w:type="dxa"/>
            <w:tcBorders>
              <w:top w:val="single" w:color="auto" w:sz="8" w:space="0"/>
              <w:left w:val="nil"/>
              <w:bottom w:val="nil"/>
              <w:right w:val="single" w:color="auto" w:sz="8" w:space="0"/>
            </w:tcBorders>
            <w:shd w:val="clear" w:color="auto" w:fill="D7D7D7"/>
            <w:noWrap w:val="0"/>
            <w:vAlign w:val="center"/>
          </w:tcPr>
          <w:p>
            <w:pPr>
              <w:widowControl/>
              <w:ind w:right="-9" w:rightChars="0"/>
              <w:jc w:val="center"/>
              <w:rPr>
                <w:rFonts w:hint="eastAsia" w:ascii="宋体" w:hAnsi="宋体" w:eastAsia="宋体" w:cs="宋体"/>
                <w:b/>
                <w:bCs/>
                <w:color w:val="000000" w:themeColor="text1"/>
                <w:kern w:val="0"/>
                <w:sz w:val="20"/>
                <w:highlight w:val="none"/>
                <w:lang w:val="en-US" w:eastAsia="zh-CN"/>
                <w14:textFill>
                  <w14:solidFill>
                    <w14:schemeClr w14:val="tx1"/>
                  </w14:solidFill>
                </w14:textFill>
              </w:rPr>
            </w:pPr>
            <w:r>
              <w:rPr>
                <w:rFonts w:hint="eastAsia" w:ascii="宋体" w:hAnsi="宋体" w:cs="宋体"/>
                <w:b/>
                <w:bCs/>
                <w:color w:val="000000" w:themeColor="text1"/>
                <w:kern w:val="0"/>
                <w:sz w:val="20"/>
                <w:highlight w:val="none"/>
                <w:lang w:val="en-US" w:eastAsia="zh-CN"/>
                <w14:textFill>
                  <w14:solidFill>
                    <w14:schemeClr w14:val="tx1"/>
                  </w14:solidFill>
                </w14:textFill>
              </w:rPr>
              <w:t>单价</w:t>
            </w:r>
          </w:p>
        </w:tc>
        <w:tc>
          <w:tcPr>
            <w:tcW w:w="711" w:type="dxa"/>
            <w:tcBorders>
              <w:top w:val="single" w:color="auto" w:sz="8" w:space="0"/>
              <w:left w:val="nil"/>
              <w:bottom w:val="nil"/>
              <w:right w:val="single" w:color="auto" w:sz="8" w:space="0"/>
            </w:tcBorders>
            <w:shd w:val="clear" w:color="auto" w:fill="D7D7D7"/>
            <w:noWrap w:val="0"/>
            <w:vAlign w:val="center"/>
          </w:tcPr>
          <w:p>
            <w:pPr>
              <w:widowControl/>
              <w:ind w:right="-9" w:rightChars="0"/>
              <w:jc w:val="center"/>
              <w:rPr>
                <w:rFonts w:hint="eastAsia" w:ascii="宋体" w:hAnsi="宋体" w:eastAsia="宋体" w:cs="宋体"/>
                <w:b/>
                <w:bCs/>
                <w:color w:val="000000" w:themeColor="text1"/>
                <w:kern w:val="0"/>
                <w:sz w:val="20"/>
                <w:highlight w:val="none"/>
                <w:lang w:val="en-US" w:eastAsia="zh-CN"/>
                <w14:textFill>
                  <w14:solidFill>
                    <w14:schemeClr w14:val="tx1"/>
                  </w14:solidFill>
                </w14:textFill>
              </w:rPr>
            </w:pPr>
            <w:r>
              <w:rPr>
                <w:rFonts w:hint="eastAsia" w:ascii="宋体" w:hAnsi="宋体" w:cs="宋体"/>
                <w:b/>
                <w:bCs/>
                <w:color w:val="000000" w:themeColor="text1"/>
                <w:kern w:val="0"/>
                <w:sz w:val="20"/>
                <w:highlight w:val="none"/>
                <w:lang w:val="en-US" w:eastAsia="zh-CN"/>
                <w14:textFill>
                  <w14:solidFill>
                    <w14:schemeClr w14:val="tx1"/>
                  </w14:solidFill>
                </w14:textFill>
              </w:rPr>
              <w:t>合价</w:t>
            </w:r>
          </w:p>
        </w:tc>
      </w:tr>
      <w:tr>
        <w:tblPrEx>
          <w:tblCellMar>
            <w:top w:w="0" w:type="dxa"/>
            <w:left w:w="108" w:type="dxa"/>
            <w:bottom w:w="0" w:type="dxa"/>
            <w:right w:w="108" w:type="dxa"/>
          </w:tblCellMar>
        </w:tblPrEx>
        <w:trPr>
          <w:trHeight w:val="1160" w:hRule="atLeast"/>
          <w:jc w:val="center"/>
        </w:trPr>
        <w:tc>
          <w:tcPr>
            <w:tcW w:w="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1</w:t>
            </w:r>
          </w:p>
        </w:tc>
        <w:tc>
          <w:tcPr>
            <w:tcW w:w="14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丰乐服务区智慧运维管理系统</w:t>
            </w:r>
          </w:p>
        </w:tc>
        <w:tc>
          <w:tcPr>
            <w:tcW w:w="6745" w:type="dxa"/>
            <w:tcBorders>
              <w:top w:val="single" w:color="auto" w:sz="4" w:space="0"/>
              <w:left w:val="nil"/>
              <w:bottom w:val="single" w:color="auto" w:sz="4" w:space="0"/>
              <w:right w:val="single" w:color="auto" w:sz="4" w:space="0"/>
            </w:tcBorders>
            <w:noWrap w:val="0"/>
            <w:vAlign w:val="center"/>
          </w:tcPr>
          <w:p>
            <w:pPr>
              <w:pStyle w:val="40"/>
              <w:ind w:firstLine="440"/>
              <w:rPr>
                <w:rFonts w:ascii="宋体" w:hAnsi="宋体" w:cs="宋体"/>
                <w:color w:val="000000" w:themeColor="text1"/>
                <w:kern w:val="0"/>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需要开发主动式信息服务系统移动端，将服务区承载能力、路网的交通路况、服务区周边的气象信息等实时推送给旅客，引导旅客进行服务区停留的选择。对丰乐服务区停车、如厕、餐饮、购物、车辆维修等各项服务质量进行体验评价。</w:t>
            </w:r>
          </w:p>
        </w:tc>
        <w:tc>
          <w:tcPr>
            <w:tcW w:w="7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套</w:t>
            </w:r>
          </w:p>
        </w:tc>
        <w:tc>
          <w:tcPr>
            <w:tcW w:w="67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highlight w:val="none"/>
                <w:lang w:val="en-US" w:eastAsia="zh-CN"/>
                <w14:textFill>
                  <w14:solidFill>
                    <w14:schemeClr w14:val="tx1"/>
                  </w14:solidFill>
                </w14:textFill>
              </w:rPr>
            </w:pPr>
            <w:r>
              <w:rPr>
                <w:rFonts w:hint="eastAsia" w:ascii="宋体" w:hAnsi="宋体" w:cs="宋体"/>
                <w:color w:val="000000" w:themeColor="text1"/>
                <w:kern w:val="0"/>
                <w:sz w:val="20"/>
                <w:highlight w:val="none"/>
                <w:lang w:val="en-US" w:eastAsia="zh-CN"/>
                <w14:textFill>
                  <w14:solidFill>
                    <w14:schemeClr w14:val="tx1"/>
                  </w14:solidFill>
                </w14:textFill>
              </w:rPr>
              <w:t>1</w:t>
            </w:r>
          </w:p>
        </w:tc>
        <w:tc>
          <w:tcPr>
            <w:tcW w:w="7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0"/>
                <w:highlight w:val="none"/>
                <w14:textFill>
                  <w14:solidFill>
                    <w14:schemeClr w14:val="tx1"/>
                  </w14:solidFill>
                </w14:textFill>
              </w:rPr>
            </w:pPr>
          </w:p>
        </w:tc>
        <w:tc>
          <w:tcPr>
            <w:tcW w:w="7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0"/>
                <w:highlight w:val="none"/>
                <w14:textFill>
                  <w14:solidFill>
                    <w14:schemeClr w14:val="tx1"/>
                  </w14:solidFill>
                </w14:textFill>
              </w:rPr>
            </w:pPr>
          </w:p>
        </w:tc>
      </w:tr>
      <w:tr>
        <w:tblPrEx>
          <w:tblCellMar>
            <w:top w:w="0" w:type="dxa"/>
            <w:left w:w="108" w:type="dxa"/>
            <w:bottom w:w="0" w:type="dxa"/>
            <w:right w:w="108" w:type="dxa"/>
          </w:tblCellMar>
        </w:tblPrEx>
        <w:trPr>
          <w:trHeight w:val="958"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2</w:t>
            </w:r>
          </w:p>
        </w:tc>
        <w:tc>
          <w:tcPr>
            <w:tcW w:w="14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丰乐服务区主动式信息服务系统</w:t>
            </w:r>
          </w:p>
        </w:tc>
        <w:tc>
          <w:tcPr>
            <w:tcW w:w="6745" w:type="dxa"/>
            <w:tcBorders>
              <w:top w:val="nil"/>
              <w:left w:val="nil"/>
              <w:bottom w:val="single" w:color="auto" w:sz="4" w:space="0"/>
              <w:right w:val="single" w:color="auto" w:sz="4" w:space="0"/>
            </w:tcBorders>
            <w:noWrap w:val="0"/>
            <w:vAlign w:val="center"/>
          </w:tcPr>
          <w:p>
            <w:pPr>
              <w:pStyle w:val="40"/>
              <w:ind w:left="0" w:leftChars="0" w:firstLine="440" w:firstLineChars="200"/>
              <w:rPr>
                <w:rFonts w:ascii="宋体" w:hAnsi="宋体" w:cs="宋体"/>
                <w:color w:val="000000" w:themeColor="text1"/>
                <w:kern w:val="0"/>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需要开发丰乐服务区设备运维管理系统，利用互联网手段，达到日常巡检自动化目的，将消防监测、电力监测、智能厕所、智能停车、智能路灯等进行统一管理，及时发现故障及问题，报警提醒。</w:t>
            </w:r>
          </w:p>
        </w:tc>
        <w:tc>
          <w:tcPr>
            <w:tcW w:w="72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套</w:t>
            </w:r>
          </w:p>
        </w:tc>
        <w:tc>
          <w:tcPr>
            <w:tcW w:w="67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themeColor="text1"/>
                <w:kern w:val="0"/>
                <w:sz w:val="20"/>
                <w:highlight w:val="none"/>
                <w:lang w:val="en-US" w:eastAsia="zh-CN"/>
                <w14:textFill>
                  <w14:solidFill>
                    <w14:schemeClr w14:val="tx1"/>
                  </w14:solidFill>
                </w14:textFill>
              </w:rPr>
            </w:pPr>
            <w:r>
              <w:rPr>
                <w:rFonts w:hint="eastAsia" w:ascii="宋体" w:hAnsi="宋体" w:cs="宋体"/>
                <w:color w:val="000000" w:themeColor="text1"/>
                <w:kern w:val="0"/>
                <w:sz w:val="20"/>
                <w:highlight w:val="none"/>
                <w:lang w:val="en-US" w:eastAsia="zh-CN"/>
                <w14:textFill>
                  <w14:solidFill>
                    <w14:schemeClr w14:val="tx1"/>
                  </w14:solidFill>
                </w14:textFill>
              </w:rPr>
              <w:t>1</w:t>
            </w:r>
          </w:p>
        </w:tc>
        <w:tc>
          <w:tcPr>
            <w:tcW w:w="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0"/>
                <w:highlight w:val="none"/>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0"/>
                <w:highlight w:val="none"/>
                <w14:textFill>
                  <w14:solidFill>
                    <w14:schemeClr w14:val="tx1"/>
                  </w14:solidFill>
                </w14:textFill>
              </w:rPr>
            </w:pPr>
          </w:p>
        </w:tc>
      </w:tr>
      <w:tr>
        <w:tblPrEx>
          <w:tblCellMar>
            <w:top w:w="0" w:type="dxa"/>
            <w:left w:w="108" w:type="dxa"/>
            <w:bottom w:w="0" w:type="dxa"/>
            <w:right w:w="108" w:type="dxa"/>
          </w:tblCellMar>
        </w:tblPrEx>
        <w:trPr>
          <w:trHeight w:val="530"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3</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48口接入交换机</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themeColor="text1"/>
                <w:kern w:val="0"/>
                <w:sz w:val="20"/>
                <w:highlight w:val="none"/>
                <w14:textFill>
                  <w14:solidFill>
                    <w14:schemeClr w14:val="tx1"/>
                  </w14:solidFill>
                </w14:textFill>
              </w:rPr>
            </w:pPr>
            <w:r>
              <w:rPr>
                <w:rStyle w:val="38"/>
                <w:rFonts w:hint="default"/>
                <w:color w:val="000000" w:themeColor="text1"/>
                <w:highlight w:val="none"/>
                <w:lang w:bidi="ar"/>
                <w14:textFill>
                  <w14:solidFill>
                    <w14:schemeClr w14:val="tx1"/>
                  </w14:solidFill>
                </w14:textFill>
              </w:rPr>
              <w:t>1、固化千兆电接口≥48个，独立千兆SFP光接口≥4个；</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2、★交换容量≥432Gbps，包转发率≥132Mpps；</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3、支持 IPv4/IPv6 双协议栈、IPv6 路由协议 RIPng、IPv6 over IPv4 隧道（手工隧</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道/6to4 隧道/ISATAP 隧道）。</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4、★支持 MAC 认证、802.1x 认证、Portal 认证，实现用户策略（VLAN、QoS、ACL）的动态下发；</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5、★支持完善的 DoS 类防攻击、用户类防攻击。其中，DoS 类防攻击主要针对交换机本身的攻击，包括 SYNFlood、Land、Smurf、ICMP Flood；用户类防攻击涉及 DHCP 服务器仿冒攻击、IP/MAC 欺骗、DHCP request flood、改变DHCP CHADDR 值等等；</w:t>
            </w:r>
            <w:r>
              <w:rPr>
                <w:rStyle w:val="39"/>
                <w:rFonts w:hint="default"/>
                <w:color w:val="000000" w:themeColor="text1"/>
                <w:highlight w:val="none"/>
                <w:lang w:bidi="ar"/>
                <w14:textFill>
                  <w14:solidFill>
                    <w14:schemeClr w14:val="tx1"/>
                  </w14:solidFill>
                </w14:textFill>
              </w:rPr>
              <w:t>提供官网链接及截图</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6、支持 SVF 超级虚拟交换网，SVF 方案创新实现将原来“核心/汇聚+接入交换机+AP”的网络架构，虚拟化为一台设备进行管理，简化设备管理，实现接入交换机和无线 AP 的即插即用；业务配置模板化，在核心设备上配置后自动下发到接入设备，实现集中管控，简化业务配置，灵活调整。该系列交换机在 SVF 方案中支持作为 client 角色；</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7、★支持智能 iStack 堆叠，将多台支持堆叠特性的交换机组合在一起，从逻辑上虚拟为一台交换机；</w:t>
            </w:r>
            <w:r>
              <w:rPr>
                <w:rStyle w:val="39"/>
                <w:rFonts w:hint="default"/>
                <w:color w:val="000000" w:themeColor="text1"/>
                <w:highlight w:val="none"/>
                <w:lang w:bidi="ar"/>
                <w14:textFill>
                  <w14:solidFill>
                    <w14:schemeClr w14:val="tx1"/>
                  </w14:solidFill>
                </w14:textFill>
              </w:rPr>
              <w:t>提供官网链接及截图</w:t>
            </w:r>
            <w:r>
              <w:rPr>
                <w:rStyle w:val="38"/>
                <w:rFonts w:hint="default"/>
                <w:color w:val="000000" w:themeColor="text1"/>
                <w:highlight w:val="none"/>
                <w:lang w:bidi="ar"/>
                <w14:textFill>
                  <w14:solidFill>
                    <w14:schemeClr w14:val="tx1"/>
                  </w14:solidFill>
                </w14:textFill>
              </w:rPr>
              <w:br w:type="textWrapping"/>
            </w:r>
            <w:r>
              <w:rPr>
                <w:rStyle w:val="38"/>
                <w:rFonts w:hint="default"/>
                <w:color w:val="000000" w:themeColor="text1"/>
                <w:highlight w:val="none"/>
                <w:lang w:bidi="ar"/>
                <w14:textFill>
                  <w14:solidFill>
                    <w14:schemeClr w14:val="tx1"/>
                  </w14:solidFill>
                </w14:textFill>
              </w:rPr>
              <w:t>9、考虑设备兼容性、项目实施、交付及售后服务，采用与核心交换机同一品牌，</w:t>
            </w:r>
            <w:r>
              <w:rPr>
                <w:rStyle w:val="39"/>
                <w:rFonts w:hint="default"/>
                <w:color w:val="000000" w:themeColor="text1"/>
                <w:highlight w:val="none"/>
                <w:lang w:bidi="ar"/>
                <w14:textFill>
                  <w14:solidFill>
                    <w14:schemeClr w14:val="tx1"/>
                  </w14:solidFill>
                </w14:textFill>
              </w:rPr>
              <w:t>提供工信部入网证书</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2</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530"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4</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24口接入交换机</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1、固化千兆电接口≥24个，独立千兆SFP光接口≥4个；</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2、★交换容量≥336Gbps，包转发率≥126Mpps；</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3、支持 IPv4/IPv6 双协议栈、IPv6 路由协议 RIPng、IPv6 over IPv4 隧道（手工隧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道/6to4 隧道/ISATAP 隧道）。</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4、★支持 MAC 认证、802.1x 认证、Portal 认证，实现用户策略（VLAN、QoS、ACL）的动态下发；</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5、★支持完善的 DoS 类防攻击、用户类防攻击。其中，DoS 类防攻击主要针对交换机本身的攻击，包括 SYNFlood、Land、Smurf、ICMP Flood；用户类防攻击涉及 DHCP 服务器仿冒攻击、IP/MAC 欺骗、DHCP request flood、改变DHCP CHADDR 值等等；提供官网链接及截图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6、支持 SVF 超级虚拟交换网，SVF 方案创新实现将原来“核心/汇聚+接入交换机+AP”的网络架构，虚拟化为一台设备进行管理，简化设备管理，实现接入交换机和无线 AP 的即插即用；业务配置模板化，在核心设备上配置后自动下发到接入设备，实现集中管控，简化业务配置，灵活调整。该系列交换机在 SVF 方案中支持作为 client 角色；</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7、★支持智能 iStack 堆叠，将多台支持堆叠特性的交换机组合在一起，从逻辑上虚拟为一台交换机；提供官网链接及截图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9、考虑设备兼容性、项目实施、交付及售后服务，采用与核心交换机同一品牌，提供工信部入网证书</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2</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530"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5</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外场接入交换机</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1、固化千兆光接口≥24个，独立千兆电接口≥8个，独立千兆SFP光接口≥4个；</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2、★交换容量≥432Gbps，包转发率≥138Mpps；</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3、支持 IPv4/IPv6 双协议栈、IPv6 路由协议 RIPng、IPv6 over IPv4 隧道（手工隧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道/6to4 隧道/ISATAP 隧道）。</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4、★支持 MAC 认证、802.1x 认证、Portal 认证，实现用户策略（VLAN、QoS、ACL）的动态下发；</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5、★支持完善的 DoS 类防攻击、用户类防攻击。其中，DoS 类防攻击主要针对交换机本身的攻击，包括 SYNFlood、Land、Smurf、ICMP Flood；用户类防攻击涉及 DHCP 服务器仿冒攻击、IP/MAC 欺骗、DHCP request flood、改变DHCP CHADDR 值等等；提供官网链接及截图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6、支持 SVF 超级虚拟交换网，SVF 方案创新实现将原来“核心/汇聚+接入交换机+AP”的网络架构，虚拟化为一台设备进行管理，简化设备管理，实现接入交换机和无线 AP 的即插即用；业务配置模板化，在核心设备上配置后自动下发到接入设备，实现集中管控，简化业务配置，灵活调整。该系列交换机在 SVF 方案中支持作为 client 角色；</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7、★支持智能 iStack 堆叠，将多台支持堆叠特性的交换机组合在一起，从逻辑上虚拟为一台交换机；提供官网链接及截图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9、考虑设备兼容性、项目实施、交付及售后服务，采用与核心交换机同一品牌，提供工信部入网证书</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1</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281"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6</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千兆光模块</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千兆单模SFP光模块，波长1310nm，最大传输距离10km，要求与交换机同一品牌。</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个</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36</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718"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7</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室外工业级交换机（一光四电）</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 xml:space="preserve">1.低功耗无风扇设计，工业级产品，适用于不同应用环境；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2.工作温度：-30℃～+70℃，湿度 5%～95%（无凝露）；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3.防护等级 IP40 及以上；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4.功耗低，即插即用；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5.支持传统光纤点到点、链型及星型连接。</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14</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1442"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8</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24口通用型光纤配线架（含耦合器）</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光纤配线架是一种模块化的光纤连接单元，可搭配FC/ST/LC/SC/等多种光纤互连接口的适配器面板，为用户提供多样化全方位的光纤管理方案。</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主要应用于主要用于电信级中心机房、数据中心或企业机房中外线光缆光纤与设备尾纤之间的的光纤熔接、保护、线路存储管理。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标准：YD/T778-2011</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产品特点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机架式19″设计，冷扎板材料，静电喷涂，全密封</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集光缆、尾纤接续、尾纤、跳线收容等功能为一体。</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光缆进出口位于箱体后面，并设有固定架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抽屉式设计，带轨道，方便施工和维护；</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面板式设计，可搭配FC/ST/LC/SC/MPO等多种光纤互连接口的适配器面板，最大支持48芯；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熔纤盘为层叠式，单件可熔24芯，可以方便增减，施工操作便利，对光纤及其元件提供机械保护和环境保护</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技术参数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绝缘电阻：光缆终端和金属构件与光缆金属加强芯之间、光缆金属构件之间、光缆金属构件与地之间的绝缘电阻应大于 2×104MΩ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抗电强度：光缆终端和金属构件与光缆金属加强芯之间、光缆金属构件之间、光缆金属构件与地之间在 15kV直流电压作用下，1min不飞狐。</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2</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1312"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9</w:t>
            </w:r>
          </w:p>
        </w:tc>
        <w:tc>
          <w:tcPr>
            <w:tcW w:w="1466"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24口六类非屏蔽配线架（含模块）</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符合标准:YD/T 926.3</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产品特性：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采用模块式，自带丝印端口号，背部带有理线托架设计，便于端接时机柜后部线缆管理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拆装方便，免工具端接</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托架自带接地连接，最大限度的提高接地能力，可有效的防护电磁干扰和射频干扰，并提供出色的外来串扰抑制能力</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支持CAT 6A类、CAT 6类和CAT 5e类非屏蔽模块搭配使用标准19″安装，适用范围广，维护、扩容简便快捷，提供1U、0.5U二种规格</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6</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530"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10</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1.5米单模LC光纤尾纤</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插入损耗：IL≦0.2dB  回波损耗：RL≧50dB</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连接衰减：≦0.5dB（包括互换和重复）</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互换回波损耗：≧35dB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插拔耐久性寿命：&gt;1000次仍能满足衰减要求。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光缆抗拉强度：≧200N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最小弯曲半径：静态：10倍缆径；动态：20倍缆径</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工作温度： -20℃~+70℃</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根</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48</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530"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11</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3米单模双芯LC-LC光纤跳线</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hint="eastAsia"/>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插入损耗：IL≦0.2dB  回波损耗：RL≧50dB</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连接衰减：≦0.5dB（包括互换和重复）</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互换回波损耗：≧35dB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插拔耐久性寿命：&gt;1000次仍能满足衰减要求。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光缆抗拉强度：≧200N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最小弯曲半径：静态：10倍缆径；动态：20倍缆径</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工作温度： -20℃~+70℃</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根</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themeColor="text1"/>
                <w:kern w:val="0"/>
                <w:sz w:val="22"/>
                <w:szCs w:val="22"/>
                <w:highlight w:val="none"/>
                <w:lang w:val="en-US" w:eastAsia="zh-CN" w:bidi="ar"/>
                <w14:textFill>
                  <w14:solidFill>
                    <w14:schemeClr w14:val="tx1"/>
                  </w14:solidFill>
                </w14:textFill>
              </w:rPr>
            </w:pPr>
            <w:r>
              <w:rPr>
                <w:rFonts w:hint="eastAsia" w:ascii="宋体" w:hAnsi="宋体" w:cs="宋体"/>
                <w:color w:val="000000" w:themeColor="text1"/>
                <w:kern w:val="0"/>
                <w:sz w:val="22"/>
                <w:szCs w:val="22"/>
                <w:highlight w:val="none"/>
                <w:lang w:val="en-US" w:eastAsia="zh-CN" w:bidi="ar"/>
                <w14:textFill>
                  <w14:solidFill>
                    <w14:schemeClr w14:val="tx1"/>
                  </w14:solidFill>
                </w14:textFill>
              </w:rPr>
              <w:t>48</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792"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12</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3米六类非屏蔽网络跳线</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符合标准ISO/IEC 11801 TIA/EIA-568-B.2</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产品特性：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多股内导体，内置十字骨架结构和RJ45水晶头制作，柔软，易弯曲</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自动剥线和专业气动端接设备制作，每道工序全检，具备更高的可靠性和一致性；水晶头采用高性能日本赛钢材料制作，具有高硬度、高钢性、高耐磨、耐反覆冲击性强。锁扣最少弯折1000次以上不会断；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三叉水晶头压接簧片，确保与线材接触的最小接触电阻；</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水晶头压接簧片整体50u镀金，确保优异性能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渐变型受力原理的加长护套，防滑抗拉，保证一定的弯曲半径</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所有使用原材料，符合ROHS,有害物质控制在国际最严格标准内</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提供符合T568A或T568B两种标准的产品 ，100%的严格通过TIA Patch Cord Cat.6测试</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电气性能：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满足ISO/IEC 11801 TIA/EIA-568-C.2电气性能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最大直流电阻：0.30ohm</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额定安全电压：300V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物理参数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电缆直径 ：6.0±0.2mm</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各种颜色和长度可供用户选择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护套材料：聚氯乙烯(PVC) 或低烟无卤(LSZH )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导体材料：高纯度无氧铜(纯度99.99%),多股绞合线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插头与插座拔插次数≥1000次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－额定温度：-20 ℃ ~ +70 ℃</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根</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144</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530"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13</w:t>
            </w:r>
          </w:p>
        </w:tc>
        <w:tc>
          <w:tcPr>
            <w:tcW w:w="146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网络机柜(600*600*2000mm)</w:t>
            </w:r>
          </w:p>
        </w:tc>
        <w:tc>
          <w:tcPr>
            <w:tcW w:w="6745"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用于布线系统中网络布线间、楼层配线间、机房等设备间安装设备使用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符合标准：GB/T3047.2</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产品特性：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整柜采用优质高强度冷轧钢板</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表面采用防静电喷涂处理；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采用透气网孔门或玻璃门设计，外观高雅大方；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顶部自带散热风扇，更加有效的辅助设备散热；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内部19英寸安装设计，通用性强，结构科学，符合国际标准；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高强度承重设计，进线位置可按需求封闭；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正门、后门、侧门全拆式组合结构便于施工安装；</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物理参数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材料：高强度冷轧钢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高度可选:47U/42U/37U/32U/27U/22U/18U</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深度可选:600MM/800MM/1000MM</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门材质：金属网，玻璃</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额定温度：-20 ℃ ~ +70 ℃</w:t>
            </w:r>
          </w:p>
        </w:tc>
        <w:tc>
          <w:tcPr>
            <w:tcW w:w="72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台</w:t>
            </w:r>
          </w:p>
        </w:tc>
        <w:tc>
          <w:tcPr>
            <w:tcW w:w="678"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w:t>
            </w:r>
          </w:p>
        </w:tc>
        <w:tc>
          <w:tcPr>
            <w:tcW w:w="733"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c>
          <w:tcPr>
            <w:tcW w:w="71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p>
        </w:tc>
      </w:tr>
      <w:tr>
        <w:tblPrEx>
          <w:tblCellMar>
            <w:top w:w="0" w:type="dxa"/>
            <w:left w:w="108" w:type="dxa"/>
            <w:bottom w:w="0" w:type="dxa"/>
            <w:right w:w="108" w:type="dxa"/>
          </w:tblCellMar>
        </w:tblPrEx>
        <w:trPr>
          <w:trHeight w:val="834" w:hRule="atLeast"/>
          <w:jc w:val="center"/>
        </w:trPr>
        <w:tc>
          <w:tcPr>
            <w:tcW w:w="445"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themeColor="text1"/>
                <w:kern w:val="0"/>
                <w:sz w:val="20"/>
                <w:highlight w:val="none"/>
                <w14:textFill>
                  <w14:solidFill>
                    <w14:schemeClr w14:val="tx1"/>
                  </w14:solidFill>
                </w14:textFill>
              </w:rPr>
            </w:pPr>
          </w:p>
        </w:tc>
        <w:tc>
          <w:tcPr>
            <w:tcW w:w="146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themeColor="text1"/>
                <w:kern w:val="0"/>
                <w:sz w:val="20"/>
                <w:highlight w:val="none"/>
                <w14:textFill>
                  <w14:solidFill>
                    <w14:schemeClr w14:val="tx1"/>
                  </w14:solidFill>
                </w14:textFill>
              </w:rPr>
            </w:pPr>
            <w:r>
              <w:rPr>
                <w:color w:val="000000" w:themeColor="text1"/>
                <w:kern w:val="0"/>
                <w:sz w:val="24"/>
                <w:highlight w:val="none"/>
                <w14:textFill>
                  <w14:solidFill>
                    <w14:schemeClr w14:val="tx1"/>
                  </w14:solidFill>
                </w14:textFill>
              </w:rPr>
              <w:t>合计金额：</w:t>
            </w:r>
          </w:p>
        </w:tc>
        <w:tc>
          <w:tcPr>
            <w:tcW w:w="9589" w:type="dxa"/>
            <w:gridSpan w:val="5"/>
            <w:tcBorders>
              <w:top w:val="nil"/>
              <w:left w:val="nil"/>
              <w:bottom w:val="single" w:color="auto" w:sz="4" w:space="0"/>
              <w:right w:val="single" w:color="auto" w:sz="4" w:space="0"/>
            </w:tcBorders>
            <w:noWrap w:val="0"/>
            <w:vAlign w:val="center"/>
          </w:tcPr>
          <w:p>
            <w:pPr>
              <w:widowControl/>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（小写）：</w:t>
            </w:r>
          </w:p>
          <w:p>
            <w:pPr>
              <w:widowControl/>
              <w:jc w:val="both"/>
              <w:rPr>
                <w:rFonts w:ascii="宋体" w:hAnsi="宋体" w:cs="宋体"/>
                <w:color w:val="000000" w:themeColor="text1"/>
                <w:kern w:val="0"/>
                <w:sz w:val="20"/>
                <w:highlight w:val="none"/>
                <w14:textFill>
                  <w14:solidFill>
                    <w14:schemeClr w14:val="tx1"/>
                  </w14:solidFill>
                </w14:textFill>
              </w:rPr>
            </w:pPr>
            <w:r>
              <w:rPr>
                <w:color w:val="000000" w:themeColor="text1"/>
                <w:kern w:val="0"/>
                <w:sz w:val="24"/>
                <w:highlight w:val="none"/>
                <w14:textFill>
                  <w14:solidFill>
                    <w14:schemeClr w14:val="tx1"/>
                  </w14:solidFill>
                </w14:textFill>
              </w:rPr>
              <w:t>（大写）：</w:t>
            </w:r>
          </w:p>
        </w:tc>
      </w:tr>
    </w:tbl>
    <w:p>
      <w:pPr>
        <w:spacing w:line="400" w:lineRule="exact"/>
        <w:ind w:firstLine="480" w:firstLineChars="200"/>
        <w:rPr>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bookmarkEnd w:id="132"/>
    <w:sectPr>
      <w:headerReference r:id="rId19" w:type="first"/>
      <w:headerReference r:id="rId18" w:type="default"/>
      <w:footerReference r:id="rId20" w:type="default"/>
      <w:pgSz w:w="11849" w:h="16781"/>
      <w:pgMar w:top="1134" w:right="1134" w:bottom="1134" w:left="1134" w:header="850" w:footer="992" w:gutter="0"/>
      <w:cols w:space="720" w:num="1"/>
      <w:titlePg/>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lang w:val="zh-CN"/>
      </w:rPr>
      <w:t>45</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30</w:t>
    </w:r>
    <w:r>
      <w:fldChar w:fldCharType="end"/>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0</w:t>
    </w:r>
    <w:r>
      <w:fldChar w:fldCharType="end"/>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3eSUp6YBAAA/AwAADgAAAAAA&#10;AAABACAAAAAeAQAAZHJzL2Uyb0RvYy54bWxQSwUGAAAAAAYABgBZAQAANgU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9"/>
      </w:pPr>
      <w:r>
        <w:rPr>
          <w:rFonts w:hint="eastAsia"/>
        </w:rPr>
        <w:footnoteRef/>
      </w:r>
      <w:r>
        <w:rPr>
          <w:rFonts w:hint="eastAsia"/>
        </w:rPr>
        <w:t xml:space="preserve"> 如果由供应商的法定代表人签署</w:t>
      </w:r>
      <w:r>
        <w:rPr>
          <w:rFonts w:hint="eastAsia"/>
          <w:highlight w:val="yellow"/>
          <w:lang w:eastAsia="zh-CN"/>
        </w:rPr>
        <w:t>响应文件</w:t>
      </w:r>
      <w:r>
        <w:rPr>
          <w:rFonts w:hint="eastAsia"/>
        </w:rPr>
        <w:t>，则无须提交授权委托书。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eastAsia="zh-CN"/>
      </w:rPr>
    </w:pPr>
    <w:r>
      <w:rPr>
        <w:rFonts w:hint="eastAsia"/>
        <w:lang w:eastAsia="zh-CN"/>
      </w:rPr>
      <w:t>安徽省驿达高速公路服务区经营管理有限公司</w:t>
    </w:r>
    <w:r>
      <w:rPr>
        <w:rFonts w:hint="eastAsia"/>
      </w:rPr>
      <w:t xml:space="preserve">2017年度商务车和轿车采购                                         </w:t>
    </w:r>
    <w:r>
      <w:rPr>
        <w:rFonts w:hint="eastAsia"/>
        <w:lang w:eastAsia="zh-CN"/>
      </w:rPr>
      <w:t>采购文件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thinThickSmallGap" w:color="auto" w:sz="12" w:space="1"/>
      </w:pBdr>
      <w:tabs>
        <w:tab w:val="left" w:pos="7006"/>
        <w:tab w:val="clear" w:pos="4153"/>
      </w:tabs>
      <w:jc w:val="both"/>
      <w:rPr>
        <w:rFonts w:ascii="楷体_GB2312" w:eastAsia="楷体_GB2312"/>
        <w:b/>
        <w:sz w:val="15"/>
        <w:szCs w:val="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1E1"/>
    <w:multiLevelType w:val="multilevel"/>
    <w:tmpl w:val="012231E1"/>
    <w:lvl w:ilvl="0" w:tentative="0">
      <w:start w:val="1"/>
      <w:numFmt w:val="decimal"/>
      <w:lvlText w:val="%1、"/>
      <w:lvlJc w:val="left"/>
      <w:pPr>
        <w:ind w:left="1239" w:hanging="795"/>
      </w:pPr>
      <w:rPr>
        <w:rFonts w:hint="default" w:ascii="宋体" w:hAnsi="宋体" w:eastAsia="宋体" w:cs="Times New Roman"/>
        <w:sz w:val="22"/>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1">
    <w:nsid w:val="0E6C70ED"/>
    <w:multiLevelType w:val="multilevel"/>
    <w:tmpl w:val="0E6C70E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F8D448C"/>
    <w:multiLevelType w:val="singleLevel"/>
    <w:tmpl w:val="1F8D448C"/>
    <w:lvl w:ilvl="0" w:tentative="0">
      <w:start w:val="2"/>
      <w:numFmt w:val="chineseCounting"/>
      <w:suff w:val="nothing"/>
      <w:lvlText w:val="%1、"/>
      <w:lvlJc w:val="left"/>
      <w:rPr>
        <w:rFonts w:hint="eastAsia"/>
      </w:rPr>
    </w:lvl>
  </w:abstractNum>
  <w:abstractNum w:abstractNumId="3">
    <w:nsid w:val="232C035B"/>
    <w:multiLevelType w:val="multilevel"/>
    <w:tmpl w:val="232C035B"/>
    <w:lvl w:ilvl="0" w:tentative="0">
      <w:start w:val="1"/>
      <w:numFmt w:val="decimal"/>
      <w:lvlText w:val="%1、"/>
      <w:lvlJc w:val="left"/>
      <w:pPr>
        <w:ind w:left="1239" w:hanging="795"/>
      </w:pPr>
      <w:rPr>
        <w:rFonts w:hint="default" w:ascii="宋体" w:hAnsi="宋体" w:eastAsia="宋体" w:cs="Times New Roman"/>
        <w:sz w:val="22"/>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4">
    <w:nsid w:val="25282E83"/>
    <w:multiLevelType w:val="singleLevel"/>
    <w:tmpl w:val="25282E83"/>
    <w:lvl w:ilvl="0" w:tentative="0">
      <w:start w:val="2"/>
      <w:numFmt w:val="decimal"/>
      <w:suff w:val="nothing"/>
      <w:lvlText w:val="（%1）"/>
      <w:lvlJc w:val="left"/>
    </w:lvl>
  </w:abstractNum>
  <w:abstractNum w:abstractNumId="5">
    <w:nsid w:val="58B1449B"/>
    <w:multiLevelType w:val="multilevel"/>
    <w:tmpl w:val="58B1449B"/>
    <w:lvl w:ilvl="0" w:tentative="0">
      <w:start w:val="1"/>
      <w:numFmt w:val="japaneseCounting"/>
      <w:lvlText w:val="第%1条"/>
      <w:lvlJc w:val="left"/>
      <w:pPr>
        <w:tabs>
          <w:tab w:val="left" w:pos="1125"/>
        </w:tabs>
        <w:ind w:left="1125" w:hanging="1125"/>
      </w:pPr>
      <w:rPr>
        <w:rFonts w:hint="eastAsia" w:cs="Times New Roman"/>
        <w:b/>
      </w:rPr>
    </w:lvl>
    <w:lvl w:ilvl="1" w:tentative="0">
      <w:start w:val="1"/>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735A9786"/>
    <w:multiLevelType w:val="singleLevel"/>
    <w:tmpl w:val="735A9786"/>
    <w:lvl w:ilvl="0" w:tentative="0">
      <w:start w:val="2"/>
      <w:numFmt w:val="decimal"/>
      <w:lvlText w:val="%1."/>
      <w:lvlJc w:val="left"/>
      <w:pPr>
        <w:tabs>
          <w:tab w:val="left" w:pos="312"/>
        </w:tabs>
      </w:pPr>
    </w:lvl>
  </w:abstractNum>
  <w:abstractNum w:abstractNumId="7">
    <w:nsid w:val="749E2897"/>
    <w:multiLevelType w:val="multilevel"/>
    <w:tmpl w:val="749E2897"/>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8">
    <w:nsid w:val="77827726"/>
    <w:multiLevelType w:val="multilevel"/>
    <w:tmpl w:val="77827726"/>
    <w:lvl w:ilvl="0" w:tentative="0">
      <w:start w:val="1"/>
      <w:numFmt w:val="decimal"/>
      <w:lvlText w:val="%1、"/>
      <w:lvlJc w:val="left"/>
      <w:pPr>
        <w:ind w:left="1239" w:hanging="795"/>
      </w:pPr>
      <w:rPr>
        <w:rFonts w:hint="default" w:ascii="宋体" w:hAnsi="宋体" w:eastAsia="宋体" w:cs="Times New Roman"/>
        <w:sz w:val="22"/>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9">
    <w:nsid w:val="7BBD47F9"/>
    <w:multiLevelType w:val="multilevel"/>
    <w:tmpl w:val="7BBD47F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747"/>
        </w:tabs>
        <w:ind w:left="747" w:hanging="567"/>
      </w:pPr>
    </w:lvl>
    <w:lvl w:ilvl="2" w:tentative="0">
      <w:start w:val="1"/>
      <w:numFmt w:val="decimal"/>
      <w:lvlText w:val="%1.%2.%3."/>
      <w:lvlJc w:val="left"/>
      <w:pPr>
        <w:tabs>
          <w:tab w:val="left" w:pos="3229"/>
        </w:tabs>
        <w:ind w:left="32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6"/>
  </w:num>
  <w:num w:numId="2">
    <w:abstractNumId w:val="4"/>
  </w:num>
  <w:num w:numId="3">
    <w:abstractNumId w:val="5"/>
  </w:num>
  <w:num w:numId="4">
    <w:abstractNumId w:val="1"/>
  </w:num>
  <w:num w:numId="5">
    <w:abstractNumId w:val="8"/>
  </w:num>
  <w:num w:numId="6">
    <w:abstractNumId w:val="0"/>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0B"/>
    <w:rsid w:val="00021FFA"/>
    <w:rsid w:val="00094253"/>
    <w:rsid w:val="000C4F59"/>
    <w:rsid w:val="000D4A05"/>
    <w:rsid w:val="000F1AF6"/>
    <w:rsid w:val="00152F6C"/>
    <w:rsid w:val="00155D21"/>
    <w:rsid w:val="0019248C"/>
    <w:rsid w:val="001A6A1D"/>
    <w:rsid w:val="00233F06"/>
    <w:rsid w:val="0026474F"/>
    <w:rsid w:val="002C76D6"/>
    <w:rsid w:val="003153F7"/>
    <w:rsid w:val="003351CF"/>
    <w:rsid w:val="003A2779"/>
    <w:rsid w:val="003C4DD1"/>
    <w:rsid w:val="003C4E3A"/>
    <w:rsid w:val="003F13C4"/>
    <w:rsid w:val="004027D0"/>
    <w:rsid w:val="0041397E"/>
    <w:rsid w:val="0047513C"/>
    <w:rsid w:val="00545C00"/>
    <w:rsid w:val="00550891"/>
    <w:rsid w:val="005B0A39"/>
    <w:rsid w:val="005C55FD"/>
    <w:rsid w:val="006046C6"/>
    <w:rsid w:val="00620DA2"/>
    <w:rsid w:val="006C4B37"/>
    <w:rsid w:val="00721F87"/>
    <w:rsid w:val="007A491A"/>
    <w:rsid w:val="00800DA5"/>
    <w:rsid w:val="00811384"/>
    <w:rsid w:val="008435A4"/>
    <w:rsid w:val="008A1323"/>
    <w:rsid w:val="008C73B1"/>
    <w:rsid w:val="009022BE"/>
    <w:rsid w:val="00923268"/>
    <w:rsid w:val="009929A4"/>
    <w:rsid w:val="00A006D3"/>
    <w:rsid w:val="00A331ED"/>
    <w:rsid w:val="00A70BEF"/>
    <w:rsid w:val="00AB092D"/>
    <w:rsid w:val="00B13650"/>
    <w:rsid w:val="00BC6830"/>
    <w:rsid w:val="00C1408E"/>
    <w:rsid w:val="00C27DB6"/>
    <w:rsid w:val="00CD3BAF"/>
    <w:rsid w:val="00D2411D"/>
    <w:rsid w:val="00D24EA7"/>
    <w:rsid w:val="00D51AEF"/>
    <w:rsid w:val="00D80B86"/>
    <w:rsid w:val="00DA4BB9"/>
    <w:rsid w:val="00DC0EBA"/>
    <w:rsid w:val="00DE3236"/>
    <w:rsid w:val="00E2130B"/>
    <w:rsid w:val="00E94637"/>
    <w:rsid w:val="00EA1BDC"/>
    <w:rsid w:val="00EC45DA"/>
    <w:rsid w:val="00F5090F"/>
    <w:rsid w:val="00F72F84"/>
    <w:rsid w:val="016D4A6E"/>
    <w:rsid w:val="01785C2E"/>
    <w:rsid w:val="018422E3"/>
    <w:rsid w:val="018A69AE"/>
    <w:rsid w:val="01F80C96"/>
    <w:rsid w:val="025E5618"/>
    <w:rsid w:val="03246F71"/>
    <w:rsid w:val="03301C83"/>
    <w:rsid w:val="04246383"/>
    <w:rsid w:val="04462B38"/>
    <w:rsid w:val="04E435A3"/>
    <w:rsid w:val="052830F6"/>
    <w:rsid w:val="058D0868"/>
    <w:rsid w:val="05FB3EA6"/>
    <w:rsid w:val="0790656E"/>
    <w:rsid w:val="07A05731"/>
    <w:rsid w:val="0821081F"/>
    <w:rsid w:val="08EB56F9"/>
    <w:rsid w:val="09CE66E8"/>
    <w:rsid w:val="0B343519"/>
    <w:rsid w:val="0B3F0877"/>
    <w:rsid w:val="0B6669E2"/>
    <w:rsid w:val="0B902CC7"/>
    <w:rsid w:val="0B9E0F48"/>
    <w:rsid w:val="0BFA681B"/>
    <w:rsid w:val="0C2A6C14"/>
    <w:rsid w:val="0C7B2856"/>
    <w:rsid w:val="0CCB088A"/>
    <w:rsid w:val="0CCF600D"/>
    <w:rsid w:val="0D933A71"/>
    <w:rsid w:val="0E6404B0"/>
    <w:rsid w:val="0F5E5A1A"/>
    <w:rsid w:val="0F87019C"/>
    <w:rsid w:val="0FC95800"/>
    <w:rsid w:val="0FE8438D"/>
    <w:rsid w:val="106565D3"/>
    <w:rsid w:val="10C67740"/>
    <w:rsid w:val="10E22F1B"/>
    <w:rsid w:val="10FE399F"/>
    <w:rsid w:val="1184127A"/>
    <w:rsid w:val="11B500E4"/>
    <w:rsid w:val="12987AB7"/>
    <w:rsid w:val="137558C7"/>
    <w:rsid w:val="13AE48D5"/>
    <w:rsid w:val="14AA321A"/>
    <w:rsid w:val="14EB6E35"/>
    <w:rsid w:val="15150282"/>
    <w:rsid w:val="156A0BA8"/>
    <w:rsid w:val="15B97065"/>
    <w:rsid w:val="16275DB1"/>
    <w:rsid w:val="16A17510"/>
    <w:rsid w:val="16B01CD3"/>
    <w:rsid w:val="16C72AAB"/>
    <w:rsid w:val="16DA3C64"/>
    <w:rsid w:val="16DC4CDA"/>
    <w:rsid w:val="179B71A3"/>
    <w:rsid w:val="18742EBB"/>
    <w:rsid w:val="1882765A"/>
    <w:rsid w:val="18BC1BBF"/>
    <w:rsid w:val="19E009C8"/>
    <w:rsid w:val="1A1B746F"/>
    <w:rsid w:val="1AD41FF7"/>
    <w:rsid w:val="1AE15F74"/>
    <w:rsid w:val="1B1A596A"/>
    <w:rsid w:val="1B943455"/>
    <w:rsid w:val="1C317951"/>
    <w:rsid w:val="1D312ED4"/>
    <w:rsid w:val="1ED27921"/>
    <w:rsid w:val="1EDE0BBB"/>
    <w:rsid w:val="1F302C27"/>
    <w:rsid w:val="1F75737D"/>
    <w:rsid w:val="200D637C"/>
    <w:rsid w:val="20C2020A"/>
    <w:rsid w:val="21D47D0C"/>
    <w:rsid w:val="21F6445E"/>
    <w:rsid w:val="21FA494F"/>
    <w:rsid w:val="22442921"/>
    <w:rsid w:val="22525ACC"/>
    <w:rsid w:val="22A17C45"/>
    <w:rsid w:val="22AC1857"/>
    <w:rsid w:val="22DD6F1D"/>
    <w:rsid w:val="231E3426"/>
    <w:rsid w:val="23A45728"/>
    <w:rsid w:val="23F43C13"/>
    <w:rsid w:val="244508ED"/>
    <w:rsid w:val="24E2107F"/>
    <w:rsid w:val="254476EE"/>
    <w:rsid w:val="259F79C6"/>
    <w:rsid w:val="26061E1C"/>
    <w:rsid w:val="26530134"/>
    <w:rsid w:val="270A03C3"/>
    <w:rsid w:val="27367AD8"/>
    <w:rsid w:val="28266DEB"/>
    <w:rsid w:val="29680051"/>
    <w:rsid w:val="29F31B95"/>
    <w:rsid w:val="2AC50229"/>
    <w:rsid w:val="2ADF1AF6"/>
    <w:rsid w:val="2B7426B2"/>
    <w:rsid w:val="2BF31B11"/>
    <w:rsid w:val="2C0404AD"/>
    <w:rsid w:val="2C2252EF"/>
    <w:rsid w:val="2C647620"/>
    <w:rsid w:val="2C7E15B7"/>
    <w:rsid w:val="2D984B90"/>
    <w:rsid w:val="2DAD4887"/>
    <w:rsid w:val="2DD81FC4"/>
    <w:rsid w:val="2E1E284C"/>
    <w:rsid w:val="2E5120F0"/>
    <w:rsid w:val="2E9E6F6C"/>
    <w:rsid w:val="2F8D770A"/>
    <w:rsid w:val="2FE84962"/>
    <w:rsid w:val="30275C54"/>
    <w:rsid w:val="30355AF0"/>
    <w:rsid w:val="3100538E"/>
    <w:rsid w:val="312B769F"/>
    <w:rsid w:val="31590C31"/>
    <w:rsid w:val="32084FFC"/>
    <w:rsid w:val="33202486"/>
    <w:rsid w:val="3442679F"/>
    <w:rsid w:val="34644A6E"/>
    <w:rsid w:val="352A3FB0"/>
    <w:rsid w:val="361B1D00"/>
    <w:rsid w:val="36832AA4"/>
    <w:rsid w:val="377049A1"/>
    <w:rsid w:val="379D0457"/>
    <w:rsid w:val="387815F2"/>
    <w:rsid w:val="38C25C64"/>
    <w:rsid w:val="38D03C90"/>
    <w:rsid w:val="38E12FDD"/>
    <w:rsid w:val="3A534BA7"/>
    <w:rsid w:val="3AD76FE6"/>
    <w:rsid w:val="3B345AAE"/>
    <w:rsid w:val="3B9205C1"/>
    <w:rsid w:val="3BD42415"/>
    <w:rsid w:val="3BF559BE"/>
    <w:rsid w:val="3C5B0370"/>
    <w:rsid w:val="3C82378E"/>
    <w:rsid w:val="3CB5603E"/>
    <w:rsid w:val="3CBA6CFA"/>
    <w:rsid w:val="3D08510B"/>
    <w:rsid w:val="3D121C74"/>
    <w:rsid w:val="3D181C5D"/>
    <w:rsid w:val="3D42241B"/>
    <w:rsid w:val="3D951442"/>
    <w:rsid w:val="3DAF6A2D"/>
    <w:rsid w:val="3DBE3E98"/>
    <w:rsid w:val="3DCE653F"/>
    <w:rsid w:val="3E194C2F"/>
    <w:rsid w:val="3E4E36EF"/>
    <w:rsid w:val="3E5C44DE"/>
    <w:rsid w:val="3ECA2F72"/>
    <w:rsid w:val="4017527D"/>
    <w:rsid w:val="41CB510A"/>
    <w:rsid w:val="420F4AEF"/>
    <w:rsid w:val="426344FF"/>
    <w:rsid w:val="432C661E"/>
    <w:rsid w:val="44F3695B"/>
    <w:rsid w:val="46C861F8"/>
    <w:rsid w:val="46D64D29"/>
    <w:rsid w:val="474100E5"/>
    <w:rsid w:val="47447E22"/>
    <w:rsid w:val="4958356C"/>
    <w:rsid w:val="496D39E6"/>
    <w:rsid w:val="49B13DA1"/>
    <w:rsid w:val="49E228DD"/>
    <w:rsid w:val="4AA76E95"/>
    <w:rsid w:val="4BE64232"/>
    <w:rsid w:val="4C3F3A5B"/>
    <w:rsid w:val="4CD9088A"/>
    <w:rsid w:val="4E0551C0"/>
    <w:rsid w:val="4E5C053B"/>
    <w:rsid w:val="4EC66846"/>
    <w:rsid w:val="50486665"/>
    <w:rsid w:val="50705E04"/>
    <w:rsid w:val="508602F1"/>
    <w:rsid w:val="51AB3208"/>
    <w:rsid w:val="51CA588E"/>
    <w:rsid w:val="52383A55"/>
    <w:rsid w:val="52435FD4"/>
    <w:rsid w:val="5276130E"/>
    <w:rsid w:val="52E57E5E"/>
    <w:rsid w:val="53671292"/>
    <w:rsid w:val="53E0589B"/>
    <w:rsid w:val="53E064CC"/>
    <w:rsid w:val="54431E2F"/>
    <w:rsid w:val="544B4A5D"/>
    <w:rsid w:val="5561081D"/>
    <w:rsid w:val="55ED3550"/>
    <w:rsid w:val="55FE6D48"/>
    <w:rsid w:val="567C6BEB"/>
    <w:rsid w:val="56E124F6"/>
    <w:rsid w:val="57296001"/>
    <w:rsid w:val="579E7F94"/>
    <w:rsid w:val="59261973"/>
    <w:rsid w:val="595A0FE8"/>
    <w:rsid w:val="5A336221"/>
    <w:rsid w:val="5A5171FD"/>
    <w:rsid w:val="5AA31640"/>
    <w:rsid w:val="5B2C2F6D"/>
    <w:rsid w:val="5B6C1786"/>
    <w:rsid w:val="5CAC0FC4"/>
    <w:rsid w:val="5D107D91"/>
    <w:rsid w:val="5D224012"/>
    <w:rsid w:val="5D594BCE"/>
    <w:rsid w:val="5E5400DF"/>
    <w:rsid w:val="5EA464F5"/>
    <w:rsid w:val="5ECA74B0"/>
    <w:rsid w:val="5ED65093"/>
    <w:rsid w:val="5F873046"/>
    <w:rsid w:val="604649BE"/>
    <w:rsid w:val="607329BD"/>
    <w:rsid w:val="60D71615"/>
    <w:rsid w:val="615D4785"/>
    <w:rsid w:val="617F5FDA"/>
    <w:rsid w:val="61836816"/>
    <w:rsid w:val="633026DF"/>
    <w:rsid w:val="63523527"/>
    <w:rsid w:val="638C34A3"/>
    <w:rsid w:val="641A5747"/>
    <w:rsid w:val="64A370B9"/>
    <w:rsid w:val="6539250E"/>
    <w:rsid w:val="656A482E"/>
    <w:rsid w:val="65E3594A"/>
    <w:rsid w:val="662122BA"/>
    <w:rsid w:val="671A70F8"/>
    <w:rsid w:val="67AF507A"/>
    <w:rsid w:val="685214B3"/>
    <w:rsid w:val="68610A2D"/>
    <w:rsid w:val="68662C43"/>
    <w:rsid w:val="68EB1B7B"/>
    <w:rsid w:val="6AC74D10"/>
    <w:rsid w:val="6AF2229E"/>
    <w:rsid w:val="6B432107"/>
    <w:rsid w:val="6B7560C8"/>
    <w:rsid w:val="6B7B345C"/>
    <w:rsid w:val="6B8B7CD6"/>
    <w:rsid w:val="6C780B23"/>
    <w:rsid w:val="6D530F94"/>
    <w:rsid w:val="6D7E1DFA"/>
    <w:rsid w:val="6F1252EE"/>
    <w:rsid w:val="6F7C4793"/>
    <w:rsid w:val="6F8B5199"/>
    <w:rsid w:val="703F784C"/>
    <w:rsid w:val="705742FD"/>
    <w:rsid w:val="70617122"/>
    <w:rsid w:val="709C4AC1"/>
    <w:rsid w:val="70C467BE"/>
    <w:rsid w:val="71247577"/>
    <w:rsid w:val="714B6D84"/>
    <w:rsid w:val="729C327D"/>
    <w:rsid w:val="72D43EBE"/>
    <w:rsid w:val="732E5FA0"/>
    <w:rsid w:val="73382047"/>
    <w:rsid w:val="733A44FD"/>
    <w:rsid w:val="7341527B"/>
    <w:rsid w:val="736B1891"/>
    <w:rsid w:val="73827D06"/>
    <w:rsid w:val="73BD3BBC"/>
    <w:rsid w:val="73D64246"/>
    <w:rsid w:val="74936F3B"/>
    <w:rsid w:val="75063CB2"/>
    <w:rsid w:val="75D87BF8"/>
    <w:rsid w:val="760128E9"/>
    <w:rsid w:val="76340B19"/>
    <w:rsid w:val="76731A3A"/>
    <w:rsid w:val="76CB42A5"/>
    <w:rsid w:val="76DD33AB"/>
    <w:rsid w:val="77DD57DD"/>
    <w:rsid w:val="781A5C1C"/>
    <w:rsid w:val="78397536"/>
    <w:rsid w:val="78615D27"/>
    <w:rsid w:val="7876740E"/>
    <w:rsid w:val="792752B3"/>
    <w:rsid w:val="7A5C477A"/>
    <w:rsid w:val="7B713F6C"/>
    <w:rsid w:val="7CA037CC"/>
    <w:rsid w:val="7CD90A9C"/>
    <w:rsid w:val="7E513A34"/>
    <w:rsid w:val="7F8A3D60"/>
    <w:rsid w:val="7FAA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5">
    <w:name w:val="heading 1"/>
    <w:basedOn w:val="6"/>
    <w:next w:val="1"/>
    <w:qFormat/>
    <w:uiPriority w:val="0"/>
    <w:pPr>
      <w:keepNext/>
      <w:keepLines/>
      <w:spacing w:before="240" w:after="240" w:line="600" w:lineRule="exact"/>
      <w:jc w:val="center"/>
      <w:outlineLvl w:val="0"/>
    </w:pPr>
    <w:rPr>
      <w:rFonts w:eastAsia="方正小标宋简体"/>
      <w:bCs/>
      <w:kern w:val="44"/>
      <w:sz w:val="44"/>
      <w:szCs w:val="44"/>
    </w:rPr>
  </w:style>
  <w:style w:type="paragraph" w:styleId="7">
    <w:name w:val="heading 2"/>
    <w:basedOn w:val="1"/>
    <w:next w:val="1"/>
    <w:link w:val="43"/>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8">
    <w:name w:val="heading 3"/>
    <w:basedOn w:val="1"/>
    <w:next w:val="1"/>
    <w:link w:val="41"/>
    <w:qFormat/>
    <w:uiPriority w:val="0"/>
    <w:pPr>
      <w:keepNext/>
      <w:keepLines/>
      <w:spacing w:before="260" w:after="260" w:line="416" w:lineRule="auto"/>
      <w:jc w:val="center"/>
      <w:outlineLvl w:val="2"/>
    </w:pPr>
    <w:rPr>
      <w:rFonts w:ascii="宋体" w:hAnsi="宋体"/>
      <w:bCs/>
      <w:sz w:val="28"/>
      <w:szCs w:val="32"/>
    </w:rPr>
  </w:style>
  <w:style w:type="paragraph" w:styleId="9">
    <w:name w:val="heading 4"/>
    <w:basedOn w:val="1"/>
    <w:next w:val="1"/>
    <w:qFormat/>
    <w:uiPriority w:val="0"/>
    <w:pPr>
      <w:keepNext/>
      <w:keepLines/>
      <w:spacing w:before="240" w:beforeLines="0" w:after="240" w:afterLines="0" w:line="300" w:lineRule="auto"/>
      <w:jc w:val="center"/>
      <w:outlineLvl w:val="3"/>
    </w:pPr>
    <w:rPr>
      <w:rFonts w:ascii="黑体" w:hAnsi="宋体" w:eastAsia="黑体"/>
      <w:b/>
      <w:color w:val="FF0000"/>
      <w:sz w:val="30"/>
    </w:rPr>
  </w:style>
  <w:style w:type="paragraph" w:styleId="10">
    <w:name w:val="heading 5"/>
    <w:basedOn w:val="1"/>
    <w:next w:val="1"/>
    <w:qFormat/>
    <w:uiPriority w:val="0"/>
    <w:pPr>
      <w:keepNext/>
      <w:outlineLvl w:val="4"/>
    </w:pPr>
    <w:rPr>
      <w:rFonts w:ascii="宋体" w:hAnsi="Arial"/>
      <w:bCs/>
      <w:sz w:val="28"/>
      <w:szCs w:val="20"/>
    </w:rPr>
  </w:style>
  <w:style w:type="character" w:default="1" w:styleId="23">
    <w:name w:val="Default Paragraph Font"/>
    <w:link w:val="24"/>
    <w:semiHidden/>
    <w:unhideWhenUsed/>
    <w:qFormat/>
    <w:uiPriority w:val="1"/>
    <w:rPr>
      <w:rFonts w:ascii="Times New Roman" w:hAnsi="Times New Roman" w:eastAsia="宋体" w:cs="Times New Roman"/>
      <w:kern w:val="2"/>
      <w:sz w:val="21"/>
      <w:szCs w:val="24"/>
      <w:lang w:eastAsia="zh-CN"/>
    </w:rPr>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line="360" w:lineRule="auto"/>
      <w:ind w:left="435"/>
    </w:pPr>
    <w:rPr>
      <w:rFonts w:ascii="Times New Roman" w:hAnsi="Times New Roman"/>
      <w:kern w:val="0"/>
      <w:szCs w:val="20"/>
    </w:rPr>
  </w:style>
  <w:style w:type="paragraph" w:styleId="4">
    <w:name w:val="envelope return"/>
    <w:basedOn w:val="1"/>
    <w:qFormat/>
    <w:uiPriority w:val="0"/>
    <w:pPr>
      <w:snapToGrid w:val="0"/>
    </w:pPr>
    <w:rPr>
      <w:rFonts w:ascii="Arial" w:hAnsi="Arial"/>
      <w:szCs w:val="20"/>
    </w:rPr>
  </w:style>
  <w:style w:type="paragraph" w:customStyle="1" w:styleId="6">
    <w:name w:val="列出段落1"/>
    <w:basedOn w:val="1"/>
    <w:qFormat/>
    <w:uiPriority w:val="34"/>
    <w:pPr>
      <w:spacing w:line="360" w:lineRule="auto"/>
      <w:ind w:firstLine="200" w:firstLineChars="200"/>
      <w:jc w:val="left"/>
    </w:pPr>
    <w:rPr>
      <w:sz w:val="24"/>
      <w:szCs w:val="22"/>
    </w:rPr>
  </w:style>
  <w:style w:type="paragraph" w:styleId="11">
    <w:name w:val="Normal Indent"/>
    <w:basedOn w:val="1"/>
    <w:unhideWhenUsed/>
    <w:qFormat/>
    <w:uiPriority w:val="99"/>
    <w:pPr>
      <w:ind w:firstLine="420" w:firstLineChars="200"/>
    </w:pPr>
  </w:style>
  <w:style w:type="paragraph" w:styleId="12">
    <w:name w:val="Document Map"/>
    <w:basedOn w:val="1"/>
    <w:qFormat/>
    <w:uiPriority w:val="0"/>
    <w:pPr>
      <w:shd w:val="clear" w:color="auto" w:fill="000080"/>
      <w:suppressAutoHyphens/>
    </w:pPr>
    <w:rPr>
      <w:kern w:val="1"/>
      <w:lang w:eastAsia="ar-SA"/>
    </w:rPr>
  </w:style>
  <w:style w:type="paragraph" w:styleId="13">
    <w:name w:val="annotation text"/>
    <w:basedOn w:val="1"/>
    <w:qFormat/>
    <w:uiPriority w:val="0"/>
    <w:rPr>
      <w:kern w:val="0"/>
      <w:szCs w:val="20"/>
    </w:rPr>
  </w:style>
  <w:style w:type="paragraph" w:styleId="14">
    <w:name w:val="Body Text"/>
    <w:basedOn w:val="1"/>
    <w:next w:val="1"/>
    <w:qFormat/>
    <w:uiPriority w:val="0"/>
    <w:rPr>
      <w:rFonts w:ascii="宋体" w:hAnsi="Arial"/>
      <w:sz w:val="28"/>
      <w:szCs w:val="20"/>
    </w:rPr>
  </w:style>
  <w:style w:type="paragraph" w:styleId="15">
    <w:name w:val="Plain Text"/>
    <w:basedOn w:val="1"/>
    <w:qFormat/>
    <w:uiPriority w:val="99"/>
    <w:rPr>
      <w:rFonts w:ascii="宋体" w:hAnsi="Courier New"/>
      <w:kern w:val="0"/>
      <w:sz w:val="21"/>
      <w:szCs w:val="20"/>
    </w:rPr>
  </w:style>
  <w:style w:type="paragraph" w:styleId="16">
    <w:name w:val="footer"/>
    <w:basedOn w:val="1"/>
    <w:qFormat/>
    <w:uiPriority w:val="99"/>
    <w:pPr>
      <w:tabs>
        <w:tab w:val="center" w:pos="4153"/>
        <w:tab w:val="right" w:pos="8306"/>
      </w:tabs>
      <w:snapToGrid w:val="0"/>
    </w:pPr>
    <w:rPr>
      <w:kern w:val="0"/>
      <w:sz w:val="18"/>
      <w:szCs w:val="20"/>
    </w:rPr>
  </w:style>
  <w:style w:type="paragraph" w:styleId="17">
    <w:name w:val="header"/>
    <w:basedOn w:val="1"/>
    <w:qFormat/>
    <w:uiPriority w:val="99"/>
    <w:pPr>
      <w:pBdr>
        <w:bottom w:val="single" w:color="auto" w:sz="6" w:space="1"/>
      </w:pBdr>
      <w:tabs>
        <w:tab w:val="center" w:pos="4153"/>
        <w:tab w:val="right" w:pos="8306"/>
      </w:tabs>
      <w:snapToGrid w:val="0"/>
      <w:jc w:val="center"/>
    </w:pPr>
    <w:rPr>
      <w:kern w:val="0"/>
      <w:sz w:val="18"/>
      <w:szCs w:val="20"/>
    </w:rPr>
  </w:style>
  <w:style w:type="paragraph" w:styleId="18">
    <w:name w:val="toc 1"/>
    <w:basedOn w:val="1"/>
    <w:next w:val="1"/>
    <w:qFormat/>
    <w:uiPriority w:val="39"/>
    <w:pPr>
      <w:spacing w:before="120" w:after="120"/>
      <w:jc w:val="center"/>
    </w:pPr>
    <w:rPr>
      <w:b/>
      <w:bCs/>
      <w:caps/>
      <w:sz w:val="20"/>
      <w:szCs w:val="20"/>
    </w:rPr>
  </w:style>
  <w:style w:type="paragraph" w:styleId="19">
    <w:name w:val="footnote text"/>
    <w:basedOn w:val="1"/>
    <w:qFormat/>
    <w:uiPriority w:val="99"/>
    <w:pPr>
      <w:snapToGrid w:val="0"/>
    </w:pPr>
    <w:rPr>
      <w:sz w:val="18"/>
      <w:szCs w:val="20"/>
    </w:rPr>
  </w:style>
  <w:style w:type="paragraph" w:styleId="20">
    <w:name w:val="Normal (Web)"/>
    <w:basedOn w:val="1"/>
    <w:qFormat/>
    <w:uiPriority w:val="0"/>
    <w:pPr>
      <w:widowControl/>
      <w:spacing w:before="100" w:beforeAutospacing="1" w:after="100" w:afterAutospacing="1"/>
    </w:pPr>
    <w:rPr>
      <w:rFonts w:ascii="宋体" w:hAnsi="宋体"/>
      <w:kern w:val="0"/>
    </w:rPr>
  </w:style>
  <w:style w:type="paragraph" w:styleId="21">
    <w:name w:val="Body Text First Indent"/>
    <w:basedOn w:val="14"/>
    <w:qFormat/>
    <w:uiPriority w:val="0"/>
    <w:pPr>
      <w:spacing w:after="0" w:afterLines="0"/>
      <w:ind w:firstLine="567"/>
    </w:pPr>
    <w:rPr>
      <w:kern w:val="2"/>
      <w:sz w:val="28"/>
    </w:rPr>
  </w:style>
  <w:style w:type="paragraph" w:customStyle="1" w:styleId="24">
    <w:name w:val="默认段落字体 Para Char Char Char Char Char Char Char Char Char Char Char Char Char Char Char1 Char"/>
    <w:basedOn w:val="12"/>
    <w:link w:val="23"/>
    <w:qFormat/>
    <w:uiPriority w:val="0"/>
    <w:pPr>
      <w:suppressAutoHyphens w:val="0"/>
    </w:pPr>
    <w:rPr>
      <w:rFonts w:ascii="Times New Roman" w:hAnsi="Times New Roman" w:eastAsia="宋体" w:cs="Times New Roman"/>
      <w:kern w:val="2"/>
      <w:sz w:val="21"/>
      <w:szCs w:val="24"/>
      <w:lang w:eastAsia="zh-CN"/>
    </w:rPr>
  </w:style>
  <w:style w:type="character" w:styleId="25">
    <w:name w:val="Strong"/>
    <w:basedOn w:val="23"/>
    <w:qFormat/>
    <w:uiPriority w:val="0"/>
    <w:rPr>
      <w:b/>
      <w:bCs/>
    </w:rPr>
  </w:style>
  <w:style w:type="character" w:styleId="26">
    <w:name w:val="page number"/>
    <w:basedOn w:val="23"/>
    <w:qFormat/>
    <w:uiPriority w:val="0"/>
    <w:rPr>
      <w:rFonts w:cs="Times New Roman"/>
    </w:rPr>
  </w:style>
  <w:style w:type="character" w:styleId="27">
    <w:name w:val="footnote reference"/>
    <w:basedOn w:val="23"/>
    <w:qFormat/>
    <w:uiPriority w:val="99"/>
    <w:rPr>
      <w:rFonts w:cs="Times New Roman"/>
      <w:vertAlign w:val="superscript"/>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标题 21"/>
    <w:basedOn w:val="1"/>
    <w:qFormat/>
    <w:uiPriority w:val="1"/>
    <w:pPr>
      <w:ind w:left="100" w:right="102"/>
      <w:outlineLvl w:val="2"/>
    </w:pPr>
    <w:rPr>
      <w:rFonts w:ascii="Microsoft JhengHei" w:hAnsi="Microsoft JhengHei" w:eastAsia="Microsoft JhengHei" w:cs="Microsoft JhengHei"/>
      <w:b/>
      <w:bCs/>
      <w:kern w:val="0"/>
      <w:sz w:val="32"/>
      <w:szCs w:val="32"/>
      <w:lang w:eastAsia="en-US"/>
    </w:rPr>
  </w:style>
  <w:style w:type="paragraph" w:styleId="30">
    <w:name w:val="List Paragraph"/>
    <w:basedOn w:val="1"/>
    <w:qFormat/>
    <w:uiPriority w:val="99"/>
    <w:pPr>
      <w:ind w:firstLine="420" w:firstLineChars="200"/>
    </w:pPr>
  </w:style>
  <w:style w:type="paragraph" w:customStyle="1" w:styleId="31">
    <w:name w:val="Table Paragraph"/>
    <w:basedOn w:val="1"/>
    <w:qFormat/>
    <w:uiPriority w:val="99"/>
  </w:style>
  <w:style w:type="paragraph" w:customStyle="1" w:styleId="32">
    <w:name w:val="Heading 21"/>
    <w:basedOn w:val="1"/>
    <w:qFormat/>
    <w:uiPriority w:val="99"/>
    <w:pPr>
      <w:ind w:left="100" w:right="113"/>
      <w:outlineLvl w:val="2"/>
    </w:pPr>
    <w:rPr>
      <w:rFonts w:ascii="Microsoft JhengHei" w:hAnsi="Microsoft JhengHei" w:eastAsia="Microsoft JhengHei" w:cs="Microsoft JhengHei"/>
      <w:b/>
      <w:bCs/>
      <w:sz w:val="32"/>
      <w:szCs w:val="32"/>
    </w:rPr>
  </w:style>
  <w:style w:type="paragraph" w:customStyle="1" w:styleId="33">
    <w:name w:val="Heading 31"/>
    <w:basedOn w:val="1"/>
    <w:qFormat/>
    <w:uiPriority w:val="99"/>
    <w:pPr>
      <w:ind w:left="237" w:right="113"/>
      <w:outlineLvl w:val="3"/>
    </w:pPr>
    <w:rPr>
      <w:sz w:val="28"/>
      <w:szCs w:val="28"/>
    </w:rPr>
  </w:style>
  <w:style w:type="paragraph" w:customStyle="1" w:styleId="34">
    <w:name w:val="Heading 41"/>
    <w:basedOn w:val="1"/>
    <w:qFormat/>
    <w:uiPriority w:val="99"/>
    <w:pPr>
      <w:spacing w:line="331" w:lineRule="exact"/>
      <w:ind w:left="513" w:right="113"/>
      <w:outlineLvl w:val="4"/>
    </w:pPr>
    <w:rPr>
      <w:rFonts w:ascii="Times New Roman" w:hAnsi="Times New Roman" w:cs="Times New Roman"/>
      <w:b/>
      <w:bCs/>
      <w:sz w:val="21"/>
      <w:szCs w:val="21"/>
    </w:rPr>
  </w:style>
  <w:style w:type="paragraph" w:customStyle="1" w:styleId="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样式 标题 2 + Times New Roman 四号 非加粗 段前: 5 磅 段后: 0 磅 行距: 固定值 20..."/>
    <w:basedOn w:val="7"/>
    <w:qFormat/>
    <w:uiPriority w:val="0"/>
    <w:pPr>
      <w:spacing w:before="100" w:after="0" w:line="400" w:lineRule="exact"/>
    </w:pPr>
    <w:rPr>
      <w:rFonts w:ascii="Times New Roman" w:hAnsi="Times New Roman" w:eastAsia="黑体" w:cs="宋体"/>
      <w:b w:val="0"/>
      <w:bCs w:val="0"/>
      <w:kern w:val="0"/>
      <w:sz w:val="28"/>
      <w:szCs w:val="20"/>
    </w:rPr>
  </w:style>
  <w:style w:type="character" w:customStyle="1" w:styleId="38">
    <w:name w:val="font41"/>
    <w:qFormat/>
    <w:uiPriority w:val="0"/>
    <w:rPr>
      <w:rFonts w:hint="eastAsia" w:ascii="宋体" w:hAnsi="宋体" w:eastAsia="宋体" w:cs="宋体"/>
      <w:color w:val="000000"/>
      <w:sz w:val="20"/>
      <w:szCs w:val="20"/>
      <w:u w:val="none"/>
    </w:rPr>
  </w:style>
  <w:style w:type="character" w:customStyle="1" w:styleId="39">
    <w:name w:val="font01"/>
    <w:qFormat/>
    <w:uiPriority w:val="0"/>
    <w:rPr>
      <w:rFonts w:hint="eastAsia" w:ascii="宋体" w:hAnsi="宋体" w:eastAsia="宋体" w:cs="宋体"/>
      <w:b/>
      <w:color w:val="000000"/>
      <w:sz w:val="20"/>
      <w:szCs w:val="20"/>
      <w:u w:val="none"/>
    </w:rPr>
  </w:style>
  <w:style w:type="paragraph" w:customStyle="1" w:styleId="40">
    <w:name w:val="样式 小四 行距: 固定值 18 磅 首行缩进:  2 字符"/>
    <w:basedOn w:val="1"/>
    <w:qFormat/>
    <w:uiPriority w:val="0"/>
    <w:pPr>
      <w:ind w:firstLine="200" w:firstLineChars="200"/>
    </w:pPr>
    <w:rPr>
      <w:rFonts w:cs="宋体"/>
      <w:sz w:val="24"/>
    </w:rPr>
  </w:style>
  <w:style w:type="character" w:customStyle="1" w:styleId="41">
    <w:name w:val="标题 3 Char"/>
    <w:link w:val="8"/>
    <w:qFormat/>
    <w:uiPriority w:val="0"/>
    <w:rPr>
      <w:rFonts w:ascii="宋体" w:hAnsi="宋体"/>
      <w:bCs/>
      <w:sz w:val="28"/>
      <w:szCs w:val="32"/>
    </w:rPr>
  </w:style>
  <w:style w:type="paragraph" w:customStyle="1" w:styleId="42">
    <w:name w:val="Heading 2"/>
    <w:basedOn w:val="1"/>
    <w:qFormat/>
    <w:uiPriority w:val="1"/>
    <w:pPr>
      <w:spacing w:line="240" w:lineRule="auto"/>
      <w:ind w:left="100" w:right="102"/>
      <w:jc w:val="left"/>
      <w:outlineLvl w:val="2"/>
    </w:pPr>
    <w:rPr>
      <w:rFonts w:ascii="Microsoft JhengHei" w:hAnsi="Microsoft JhengHei" w:eastAsia="Microsoft JhengHei" w:cs="Microsoft JhengHei"/>
      <w:b/>
      <w:bCs/>
      <w:sz w:val="32"/>
      <w:szCs w:val="32"/>
      <w:lang w:eastAsia="en-US"/>
    </w:rPr>
  </w:style>
  <w:style w:type="character" w:customStyle="1" w:styleId="43">
    <w:name w:val="标题 2 Char"/>
    <w:link w:val="7"/>
    <w:qFormat/>
    <w:uiPriority w:val="0"/>
    <w:rPr>
      <w:rFonts w:ascii="Calibri Light" w:hAnsi="Calibri Light" w:eastAsia="宋体" w:cs="Times New Roman"/>
      <w:b/>
      <w:bCs/>
      <w:sz w:val="32"/>
      <w:szCs w:val="32"/>
    </w:rPr>
  </w:style>
  <w:style w:type="paragraph" w:customStyle="1" w:styleId="44">
    <w:name w:val="*正文"/>
    <w:basedOn w:val="1"/>
    <w:qFormat/>
    <w:uiPriority w:val="0"/>
    <w:pPr>
      <w:ind w:firstLine="200"/>
    </w:pPr>
    <w:rPr>
      <w:rFonts w:ascii="宋体" w:hAnsi="宋体"/>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emf"/><Relationship Id="rId24" Type="http://schemas.openxmlformats.org/officeDocument/2006/relationships/oleObject" Target="embeddings/oleObject2.bin"/><Relationship Id="rId23" Type="http://schemas.openxmlformats.org/officeDocument/2006/relationships/image" Target="media/image1.e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8.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CCF44-8798-4824-A4B4-D521C50F08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2986</Words>
  <Characters>17024</Characters>
  <Lines>141</Lines>
  <Paragraphs>39</Paragraphs>
  <TotalTime>25</TotalTime>
  <ScaleCrop>false</ScaleCrop>
  <LinksUpToDate>false</LinksUpToDate>
  <CharactersWithSpaces>19971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win70002</dc:creator>
  <cp:lastModifiedBy>AC</cp:lastModifiedBy>
  <cp:lastPrinted>2020-03-06T08:36:00Z</cp:lastPrinted>
  <dcterms:modified xsi:type="dcterms:W3CDTF">2020-09-28T09:13:48Z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